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212" w:rsidRPr="00955D0A" w:rsidRDefault="00BF7212" w:rsidP="00BF7212">
      <w:pPr>
        <w:pStyle w:val="Heading2"/>
        <w:spacing w:before="40" w:after="0" w:line="240" w:lineRule="auto"/>
        <w:rPr>
          <w:rFonts w:ascii="Times New Roman" w:eastAsia="Times New Roman" w:hAnsi="Times New Roman" w:cs="Times New Roman"/>
          <w:b/>
          <w:color w:val="2F5496"/>
          <w:sz w:val="38"/>
          <w:szCs w:val="38"/>
          <w:u w:val="single"/>
        </w:rPr>
      </w:pPr>
      <w:proofErr w:type="spellStart"/>
      <w:r w:rsidRPr="00955D0A">
        <w:rPr>
          <w:rFonts w:ascii="Times New Roman" w:eastAsia="Times New Roman" w:hAnsi="Times New Roman" w:cs="Times New Roman"/>
          <w:b/>
          <w:color w:val="2F5496"/>
          <w:sz w:val="38"/>
          <w:szCs w:val="38"/>
          <w:u w:val="single"/>
        </w:rPr>
        <w:t>Abaxial</w:t>
      </w:r>
      <w:proofErr w:type="spellEnd"/>
      <w:r w:rsidRPr="00955D0A">
        <w:rPr>
          <w:rFonts w:ascii="Times New Roman" w:eastAsia="Times New Roman" w:hAnsi="Times New Roman" w:cs="Times New Roman"/>
          <w:b/>
          <w:color w:val="2F5496"/>
          <w:sz w:val="38"/>
          <w:szCs w:val="38"/>
          <w:u w:val="single"/>
        </w:rPr>
        <w:t xml:space="preserve"> </w:t>
      </w:r>
      <w:proofErr w:type="spellStart"/>
      <w:r w:rsidRPr="00955D0A">
        <w:rPr>
          <w:rFonts w:ascii="Times New Roman" w:eastAsia="Times New Roman" w:hAnsi="Times New Roman" w:cs="Times New Roman"/>
          <w:b/>
          <w:color w:val="2F5496"/>
          <w:sz w:val="38"/>
          <w:szCs w:val="38"/>
          <w:u w:val="single"/>
        </w:rPr>
        <w:t>Sesamoid</w:t>
      </w:r>
      <w:proofErr w:type="spellEnd"/>
      <w:r w:rsidRPr="00955D0A">
        <w:rPr>
          <w:rFonts w:ascii="Times New Roman" w:eastAsia="Times New Roman" w:hAnsi="Times New Roman" w:cs="Times New Roman"/>
          <w:b/>
          <w:color w:val="2F5496"/>
          <w:sz w:val="38"/>
          <w:szCs w:val="38"/>
          <w:u w:val="single"/>
        </w:rPr>
        <w:t xml:space="preserve"> Nerve Block</w:t>
      </w: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In order to complete this nerve block safely, the veterinarian can be positioned in one of two ways; Facing the caudal end of the horse with one hand holding the limb at the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midmetacarpal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region, or with his/her back towards the cranial end and the desired foot between the knees. </w:t>
      </w: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 w:rsidRPr="00955D0A">
        <w:rPr>
          <w:rFonts w:ascii="Times New Roman" w:eastAsia="Times New Roman" w:hAnsi="Times New Roman" w:cs="Times New Roman"/>
          <w:sz w:val="38"/>
          <w:szCs w:val="38"/>
          <w:u w:val="single"/>
        </w:rPr>
        <w:t xml:space="preserve">Technique: </w:t>
      </w: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The digital nerves are easily located where they run with the vessel bundles on the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abaxial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surface of the proximal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sesamoid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bones. The nerves bifurcate at this level to form the palmar and dorsal digital nerves. Injection technique is similar to the palmar digital nerve block but 2-2.5ml are used. It is important to inject at the distal border of the proximal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sesamoid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bones to reduce analgesia of the fetlock area (NB if the needle passes below proximal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sesamoid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bones, there is a risk of entering the digital tendon sheath). This block is easiest to perform with the limb non-weight bearing for a forelimb and weight bearing in the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hindlimb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>.</w:t>
      </w: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  <w:u w:val="single"/>
        </w:rPr>
        <w:t xml:space="preserve">Region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  <w:u w:val="single"/>
        </w:rPr>
        <w:t>desensitised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: Generally, only the limb distal the fetlock is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desensitised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but occasionally the fetlock joint is affected too. Skin sensation may remain on the dorsal aspect of the fetlock.</w:t>
      </w: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 w:rsidRPr="00955D0A">
        <w:rPr>
          <w:rFonts w:ascii="Times New Roman" w:eastAsia="Times New Roman" w:hAnsi="Times New Roman" w:cs="Times New Roman"/>
          <w:sz w:val="38"/>
          <w:szCs w:val="38"/>
          <w:u w:val="single"/>
        </w:rPr>
        <w:t>Nerves Blocked:</w:t>
      </w:r>
    </w:p>
    <w:p w:rsidR="00BF7212" w:rsidRPr="00955D0A" w:rsidRDefault="00BF7212" w:rsidP="00BF721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Lateral Palmar/plantar digital nerve</w:t>
      </w:r>
    </w:p>
    <w:p w:rsidR="00BF7212" w:rsidRPr="00955D0A" w:rsidRDefault="00BF7212" w:rsidP="00BF721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Medial Palmar/plantar digital nerve</w:t>
      </w: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Local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anaesthetic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is injected in the palmar nerves before branching into the medial and lateral palmar digital nerves.</w:t>
      </w: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</w:p>
    <w:p w:rsidR="00BF7212" w:rsidRPr="00955D0A" w:rsidRDefault="00BF7212" w:rsidP="00BF7212">
      <w:pPr>
        <w:spacing w:line="240" w:lineRule="auto"/>
        <w:rPr>
          <w:rFonts w:ascii="Times New Roman" w:eastAsia="Times New Roman" w:hAnsi="Times New Roman" w:cs="Times New Roman"/>
          <w:sz w:val="38"/>
          <w:szCs w:val="38"/>
          <w:u w:val="single"/>
        </w:rPr>
      </w:pPr>
      <w:r w:rsidRPr="00955D0A">
        <w:rPr>
          <w:rFonts w:ascii="Times New Roman" w:eastAsia="Times New Roman" w:hAnsi="Times New Roman" w:cs="Times New Roman"/>
          <w:sz w:val="38"/>
          <w:szCs w:val="38"/>
          <w:u w:val="single"/>
        </w:rPr>
        <w:t>This nerve block can be used to Diagnose:</w:t>
      </w:r>
    </w:p>
    <w:p w:rsidR="00BF7212" w:rsidRPr="00955D0A" w:rsidRDefault="00BF7212" w:rsidP="00BF721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Soft tissue injuries of pastern</w:t>
      </w:r>
    </w:p>
    <w:p w:rsidR="00BF7212" w:rsidRPr="00955D0A" w:rsidRDefault="00BF7212" w:rsidP="00BF721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Ring bone (OA)</w:t>
      </w:r>
    </w:p>
    <w:p w:rsidR="00BF7212" w:rsidRPr="00955D0A" w:rsidRDefault="00BF7212" w:rsidP="00BF721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>Laminitis</w:t>
      </w:r>
    </w:p>
    <w:p w:rsidR="00BF7212" w:rsidRPr="00955D0A" w:rsidRDefault="00BF7212" w:rsidP="00BF721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Occasionally block fetlock or </w:t>
      </w:r>
      <w:proofErr w:type="spellStart"/>
      <w:r w:rsidRPr="00955D0A">
        <w:rPr>
          <w:rFonts w:ascii="Times New Roman" w:eastAsia="Times New Roman" w:hAnsi="Times New Roman" w:cs="Times New Roman"/>
          <w:sz w:val="38"/>
          <w:szCs w:val="38"/>
        </w:rPr>
        <w:t>sesamoid</w:t>
      </w:r>
      <w:proofErr w:type="spellEnd"/>
      <w:r w:rsidRPr="00955D0A">
        <w:rPr>
          <w:rFonts w:ascii="Times New Roman" w:eastAsia="Times New Roman" w:hAnsi="Times New Roman" w:cs="Times New Roman"/>
          <w:sz w:val="38"/>
          <w:szCs w:val="38"/>
        </w:rPr>
        <w:t xml:space="preserve"> problems</w:t>
      </w:r>
    </w:p>
    <w:p w:rsidR="00BF7212" w:rsidRPr="00955D0A" w:rsidRDefault="00BF7212" w:rsidP="00BF7212">
      <w:pPr>
        <w:spacing w:line="240" w:lineRule="auto"/>
        <w:ind w:left="360"/>
        <w:rPr>
          <w:rFonts w:ascii="Times New Roman" w:eastAsia="Times New Roman" w:hAnsi="Times New Roman" w:cs="Times New Roman"/>
          <w:sz w:val="38"/>
          <w:szCs w:val="38"/>
        </w:rPr>
      </w:pPr>
    </w:p>
    <w:p w:rsidR="00BF7212" w:rsidRPr="00955D0A" w:rsidRDefault="00BF7212" w:rsidP="00BF7212">
      <w:pPr>
        <w:spacing w:line="240" w:lineRule="auto"/>
        <w:ind w:left="360"/>
        <w:rPr>
          <w:rFonts w:ascii="Times New Roman" w:eastAsia="Times New Roman" w:hAnsi="Times New Roman" w:cs="Times New Roman"/>
          <w:sz w:val="38"/>
          <w:szCs w:val="38"/>
        </w:rPr>
      </w:pPr>
      <w:r w:rsidRPr="00955D0A">
        <w:rPr>
          <w:rFonts w:ascii="Times New Roman" w:eastAsia="Times New Roman" w:hAnsi="Times New Roman" w:cs="Times New Roman"/>
          <w:noProof/>
          <w:sz w:val="38"/>
          <w:szCs w:val="38"/>
          <w:lang w:val="en-TT" w:eastAsia="en-TT"/>
        </w:rPr>
        <w:drawing>
          <wp:inline distT="0" distB="0" distL="0" distR="0" wp14:anchorId="475D081A" wp14:editId="570C9E84">
            <wp:extent cx="3500846" cy="3866606"/>
            <wp:effectExtent l="0" t="0" r="4445" b="0"/>
            <wp:docPr id="32" name="image27.jpg" descr="Orthopaedics 1. Diagnosis of lameness/diseases of joints and bones |  Veterian Ke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jpg" descr="Orthopaedics 1. Diagnosis of lameness/diseases of joints and bones |  Veterian Key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2172" cy="3868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D27BF" w:rsidRDefault="003D27BF">
      <w:bookmarkStart w:id="0" w:name="_GoBack"/>
      <w:bookmarkEnd w:id="0"/>
    </w:p>
    <w:sectPr w:rsidR="003D2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D0407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12"/>
    <w:rsid w:val="003D27BF"/>
    <w:rsid w:val="00B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DC194-0DA2-4AAC-AB02-98E470B9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212"/>
    <w:pPr>
      <w:spacing w:after="0" w:line="276" w:lineRule="auto"/>
    </w:pPr>
    <w:rPr>
      <w:rFonts w:ascii="Arial" w:eastAsia="Arial" w:hAnsi="Arial" w:cs="Arial"/>
      <w:lang w:val="en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212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7212"/>
    <w:rPr>
      <w:rFonts w:ascii="Arial" w:eastAsia="Arial" w:hAnsi="Arial" w:cs="Arial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>HP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Ramdhan</dc:creator>
  <cp:keywords/>
  <dc:description/>
  <cp:lastModifiedBy>Celine Ramdhan</cp:lastModifiedBy>
  <cp:revision>1</cp:revision>
  <dcterms:created xsi:type="dcterms:W3CDTF">2023-11-14T22:32:00Z</dcterms:created>
  <dcterms:modified xsi:type="dcterms:W3CDTF">2023-11-14T22:33:00Z</dcterms:modified>
</cp:coreProperties>
</file>