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650"/>
        <w:gridCol w:w="1650"/>
        <w:gridCol w:w="1650"/>
        <w:gridCol w:w="1650"/>
        <w:gridCol w:w="1650"/>
        <w:gridCol w:w="1650"/>
      </w:tblGrid>
      <w:tr w:rsidR="000E11F7" w:rsidRPr="009E0B7D" w14:paraId="68520B3A" w14:textId="77777777">
        <w:trPr>
          <w:trHeight w:val="145"/>
        </w:trPr>
        <w:tc>
          <w:tcPr>
            <w:tcW w:w="11550" w:type="dxa"/>
            <w:gridSpan w:val="7"/>
          </w:tcPr>
          <w:p w14:paraId="60F313F8" w14:textId="77777777" w:rsidR="000E11F7" w:rsidRPr="009E0B7D" w:rsidRDefault="00000000">
            <w:pPr>
              <w:pStyle w:val="TableParagraph"/>
              <w:spacing w:before="29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  <w:shd w:val="clear" w:color="auto" w:fill="FFFF00"/>
              </w:rPr>
              <w:t>Fluid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</w:t>
            </w:r>
          </w:p>
        </w:tc>
      </w:tr>
      <w:tr w:rsidR="000E11F7" w:rsidRPr="009E0B7D" w14:paraId="4A470F99" w14:textId="77777777">
        <w:trPr>
          <w:trHeight w:val="160"/>
        </w:trPr>
        <w:tc>
          <w:tcPr>
            <w:tcW w:w="1650" w:type="dxa"/>
          </w:tcPr>
          <w:p w14:paraId="2E858CC2" w14:textId="77777777" w:rsidR="000E11F7" w:rsidRPr="009E0B7D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Generic/Brand</w:t>
            </w:r>
            <w:r w:rsidRPr="009E0B7D">
              <w:rPr>
                <w:rFonts w:ascii="Times New Roman" w:hAnsi="Times New Roman" w:cs="Times New Roman"/>
                <w:b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Name</w:t>
            </w:r>
          </w:p>
        </w:tc>
        <w:tc>
          <w:tcPr>
            <w:tcW w:w="1650" w:type="dxa"/>
          </w:tcPr>
          <w:p w14:paraId="5475BC67" w14:textId="77777777" w:rsidR="000E11F7" w:rsidRPr="009E0B7D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Active</w:t>
            </w:r>
            <w:r w:rsidRPr="009E0B7D">
              <w:rPr>
                <w:rFonts w:ascii="Times New Roman" w:hAnsi="Times New Roman" w:cs="Times New Roman"/>
                <w:b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Ingredient</w:t>
            </w:r>
          </w:p>
        </w:tc>
        <w:tc>
          <w:tcPr>
            <w:tcW w:w="1650" w:type="dxa"/>
          </w:tcPr>
          <w:p w14:paraId="43C991A9" w14:textId="77777777" w:rsidR="000E11F7" w:rsidRPr="009E0B7D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Use</w:t>
            </w:r>
          </w:p>
        </w:tc>
        <w:tc>
          <w:tcPr>
            <w:tcW w:w="1650" w:type="dxa"/>
          </w:tcPr>
          <w:p w14:paraId="26E5DCDC" w14:textId="77777777" w:rsidR="000E11F7" w:rsidRPr="009E0B7D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Dosage</w:t>
            </w:r>
            <w:r w:rsidRPr="009E0B7D">
              <w:rPr>
                <w:rFonts w:ascii="Times New Roman" w:hAnsi="Times New Roman" w:cs="Times New Roman"/>
                <w:b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and</w:t>
            </w:r>
            <w:r w:rsidRPr="009E0B7D">
              <w:rPr>
                <w:rFonts w:ascii="Times New Roman" w:hAnsi="Times New Roman" w:cs="Times New Roman"/>
                <w:b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Administration</w:t>
            </w:r>
          </w:p>
        </w:tc>
        <w:tc>
          <w:tcPr>
            <w:tcW w:w="1650" w:type="dxa"/>
          </w:tcPr>
          <w:p w14:paraId="5B569CF1" w14:textId="77777777" w:rsidR="000E11F7" w:rsidRPr="009E0B7D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Contraindications</w:t>
            </w:r>
          </w:p>
        </w:tc>
        <w:tc>
          <w:tcPr>
            <w:tcW w:w="1650" w:type="dxa"/>
          </w:tcPr>
          <w:p w14:paraId="24CFAC29" w14:textId="77777777" w:rsidR="000E11F7" w:rsidRPr="009E0B7D" w:rsidRDefault="00000000">
            <w:pPr>
              <w:pStyle w:val="TableParagraph"/>
              <w:spacing w:before="38"/>
              <w:ind w:left="32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Withdrawal</w:t>
            </w:r>
            <w:r w:rsidRPr="009E0B7D">
              <w:rPr>
                <w:rFonts w:ascii="Times New Roman" w:hAnsi="Times New Roman" w:cs="Times New Roman"/>
                <w:b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Times</w:t>
            </w:r>
            <w:r w:rsidRPr="009E0B7D">
              <w:rPr>
                <w:rFonts w:ascii="Times New Roman" w:hAnsi="Times New Roman" w:cs="Times New Roman"/>
                <w:b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(WDT)</w:t>
            </w:r>
          </w:p>
        </w:tc>
        <w:tc>
          <w:tcPr>
            <w:tcW w:w="1650" w:type="dxa"/>
          </w:tcPr>
          <w:p w14:paraId="4E0C55DE" w14:textId="77777777" w:rsidR="000E11F7" w:rsidRPr="009E0B7D" w:rsidRDefault="00000000">
            <w:pPr>
              <w:pStyle w:val="TableParagraph"/>
              <w:spacing w:before="38"/>
              <w:ind w:left="32"/>
              <w:rPr>
                <w:rFonts w:ascii="Times New Roman" w:hAnsi="Times New Roman" w:cs="Times New Roman"/>
                <w:b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Side</w:t>
            </w:r>
            <w:r w:rsidRPr="009E0B7D">
              <w:rPr>
                <w:rFonts w:ascii="Times New Roman" w:hAnsi="Times New Roman" w:cs="Times New Roman"/>
                <w:b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b/>
                <w:w w:val="110"/>
                <w:sz w:val="16"/>
                <w:szCs w:val="40"/>
              </w:rPr>
              <w:t>Effects</w:t>
            </w:r>
          </w:p>
        </w:tc>
      </w:tr>
      <w:tr w:rsidR="000E11F7" w:rsidRPr="009E0B7D" w14:paraId="705BAE51" w14:textId="77777777">
        <w:trPr>
          <w:trHeight w:val="684"/>
        </w:trPr>
        <w:tc>
          <w:tcPr>
            <w:tcW w:w="1650" w:type="dxa"/>
          </w:tcPr>
          <w:p w14:paraId="232E3447" w14:textId="77777777" w:rsidR="000E11F7" w:rsidRPr="009E0B7D" w:rsidRDefault="00000000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Lactated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ringer’s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solution</w:t>
            </w:r>
          </w:p>
        </w:tc>
        <w:tc>
          <w:tcPr>
            <w:tcW w:w="1650" w:type="dxa"/>
          </w:tcPr>
          <w:p w14:paraId="3E985D83" w14:textId="77777777" w:rsidR="000E11F7" w:rsidRPr="009E0B7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33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Sodium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chloride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600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mg</w:t>
            </w:r>
          </w:p>
          <w:p w14:paraId="76483CA2" w14:textId="77777777" w:rsidR="000E11F7" w:rsidRPr="009E0B7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Sodium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lactate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310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mg</w:t>
            </w:r>
          </w:p>
          <w:p w14:paraId="4C4B0F15" w14:textId="77777777" w:rsidR="000E11F7" w:rsidRPr="009E0B7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Potassium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chloride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30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mg</w:t>
            </w:r>
          </w:p>
          <w:p w14:paraId="768E78C2" w14:textId="77777777" w:rsidR="000E11F7" w:rsidRPr="009E0B7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Calcium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chloride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dihydrate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20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mg</w:t>
            </w:r>
          </w:p>
          <w:p w14:paraId="52BBAC67" w14:textId="77777777" w:rsidR="000E11F7" w:rsidRPr="009E0B7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Purified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water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proofErr w:type="spellStart"/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q.s</w:t>
            </w:r>
            <w:proofErr w:type="spellEnd"/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.</w:t>
            </w:r>
          </w:p>
        </w:tc>
        <w:tc>
          <w:tcPr>
            <w:tcW w:w="1650" w:type="dxa"/>
          </w:tcPr>
          <w:p w14:paraId="04D1C410" w14:textId="62B24952" w:rsidR="000E11F7" w:rsidRPr="009E0B7D" w:rsidRDefault="00000000">
            <w:pPr>
              <w:pStyle w:val="TableParagraph"/>
              <w:spacing w:before="33" w:line="261" w:lineRule="auto"/>
              <w:ind w:right="55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Oral rehydration solution, to replenish fluids</w:t>
            </w:r>
            <w:r w:rsidRPr="009E0B7D">
              <w:rPr>
                <w:rFonts w:ascii="Times New Roman" w:hAnsi="Times New Roman" w:cs="Times New Roman"/>
                <w:spacing w:val="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 electrolytes in the treatment of</w:t>
            </w:r>
            <w:r w:rsidRPr="009E0B7D">
              <w:rPr>
                <w:rFonts w:ascii="Times New Roman" w:hAnsi="Times New Roman" w:cs="Times New Roman"/>
                <w:spacing w:val="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>dehydration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electrolyte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depletion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in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cattle,</w:t>
            </w:r>
            <w:r w:rsidRPr="009E0B7D">
              <w:rPr>
                <w:rFonts w:ascii="Times New Roman" w:hAnsi="Times New Roman" w:cs="Times New Roman"/>
                <w:spacing w:val="-18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horses,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sheep,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 </w:t>
            </w:r>
            <w:r w:rsidR="009E0B7D"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goats,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pigs.</w:t>
            </w:r>
          </w:p>
        </w:tc>
        <w:tc>
          <w:tcPr>
            <w:tcW w:w="1650" w:type="dxa"/>
          </w:tcPr>
          <w:p w14:paraId="7E5B48B7" w14:textId="77777777" w:rsidR="000E11F7" w:rsidRPr="009E0B7D" w:rsidRDefault="00000000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Administration:</w:t>
            </w:r>
          </w:p>
          <w:p w14:paraId="0F018972" w14:textId="77777777" w:rsidR="000E11F7" w:rsidRPr="009E0B7D" w:rsidRDefault="00000000">
            <w:pPr>
              <w:pStyle w:val="TableParagraph"/>
              <w:spacing w:line="261" w:lineRule="auto"/>
              <w:ind w:right="216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Per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proofErr w:type="spellStart"/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os</w:t>
            </w:r>
            <w:proofErr w:type="spellEnd"/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(PO)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as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drench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or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stomach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tube</w:t>
            </w:r>
            <w:r w:rsidRPr="009E0B7D">
              <w:rPr>
                <w:rFonts w:ascii="Times New Roman" w:hAnsi="Times New Roman" w:cs="Times New Roman"/>
                <w:spacing w:val="-18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Intravenous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(IV)</w:t>
            </w:r>
          </w:p>
          <w:p w14:paraId="4902A2B8" w14:textId="77777777" w:rsidR="000E11F7" w:rsidRPr="009E0B7D" w:rsidRDefault="000E11F7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40"/>
              </w:rPr>
            </w:pPr>
          </w:p>
          <w:p w14:paraId="0529518D" w14:textId="77777777" w:rsidR="000E11F7" w:rsidRPr="009E0B7D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Dosage:</w:t>
            </w:r>
          </w:p>
          <w:p w14:paraId="1D2A467F" w14:textId="77777777" w:rsidR="000E11F7" w:rsidRPr="009E0B7D" w:rsidRDefault="00000000">
            <w:pPr>
              <w:pStyle w:val="TableParagraph"/>
              <w:spacing w:line="261" w:lineRule="auto"/>
              <w:ind w:right="326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600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-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2000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mL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depending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on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size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</w:t>
            </w:r>
            <w:r w:rsidRPr="009E0B7D">
              <w:rPr>
                <w:rFonts w:ascii="Times New Roman" w:hAnsi="Times New Roman" w:cs="Times New Roman"/>
                <w:spacing w:val="-18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condition</w:t>
            </w:r>
          </w:p>
        </w:tc>
        <w:tc>
          <w:tcPr>
            <w:tcW w:w="1650" w:type="dxa"/>
          </w:tcPr>
          <w:p w14:paraId="79DF396B" w14:textId="77777777" w:rsidR="000E11F7" w:rsidRPr="009E0B7D" w:rsidRDefault="00000000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contraindications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  <w:tc>
          <w:tcPr>
            <w:tcW w:w="1650" w:type="dxa"/>
          </w:tcPr>
          <w:p w14:paraId="03AAC26C" w14:textId="77777777" w:rsidR="000E11F7" w:rsidRPr="009E0B7D" w:rsidRDefault="00000000">
            <w:pPr>
              <w:pStyle w:val="TableParagraph"/>
              <w:spacing w:before="33"/>
              <w:ind w:left="32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withdrawal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period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  <w:tc>
          <w:tcPr>
            <w:tcW w:w="1650" w:type="dxa"/>
          </w:tcPr>
          <w:p w14:paraId="48F16926" w14:textId="77777777" w:rsidR="000E11F7" w:rsidRPr="009E0B7D" w:rsidRDefault="00000000">
            <w:pPr>
              <w:pStyle w:val="TableParagraph"/>
              <w:spacing w:before="33"/>
              <w:ind w:left="147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05"/>
                <w:sz w:val="16"/>
                <w:szCs w:val="40"/>
              </w:rPr>
              <w:t xml:space="preserve">-   </w:t>
            </w:r>
            <w:r w:rsidRPr="009E0B7D">
              <w:rPr>
                <w:rFonts w:ascii="Times New Roman" w:hAnsi="Times New Roman" w:cs="Times New Roman"/>
                <w:spacing w:val="7"/>
                <w:w w:val="105"/>
                <w:sz w:val="16"/>
                <w:szCs w:val="40"/>
              </w:rPr>
              <w:t xml:space="preserve"> </w:t>
            </w:r>
            <w:proofErr w:type="spellStart"/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Hydrosaline</w:t>
            </w:r>
            <w:proofErr w:type="spellEnd"/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retention</w:t>
            </w:r>
          </w:p>
        </w:tc>
      </w:tr>
      <w:tr w:rsidR="000E11F7" w:rsidRPr="009E0B7D" w14:paraId="705C7C24" w14:textId="77777777">
        <w:trPr>
          <w:trHeight w:val="849"/>
        </w:trPr>
        <w:tc>
          <w:tcPr>
            <w:tcW w:w="1650" w:type="dxa"/>
          </w:tcPr>
          <w:p w14:paraId="083B5FA0" w14:textId="77777777" w:rsidR="000E11F7" w:rsidRPr="009E0B7D" w:rsidRDefault="00000000">
            <w:pPr>
              <w:pStyle w:val="TableParagraph"/>
              <w:spacing w:before="2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Saline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solution</w:t>
            </w:r>
          </w:p>
        </w:tc>
        <w:tc>
          <w:tcPr>
            <w:tcW w:w="1650" w:type="dxa"/>
          </w:tcPr>
          <w:p w14:paraId="68D03CE3" w14:textId="77777777" w:rsidR="000E11F7" w:rsidRPr="009E0B7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Sodium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chloride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0.9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g</w:t>
            </w:r>
          </w:p>
        </w:tc>
        <w:tc>
          <w:tcPr>
            <w:tcW w:w="1650" w:type="dxa"/>
          </w:tcPr>
          <w:p w14:paraId="17BCC069" w14:textId="77777777" w:rsidR="000E11F7" w:rsidRPr="009E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8" w:line="261" w:lineRule="auto"/>
              <w:ind w:right="82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Replacement therapy of sodium,</w:t>
            </w:r>
            <w:r w:rsidRPr="009E0B7D">
              <w:rPr>
                <w:rFonts w:ascii="Times New Roman" w:hAnsi="Times New Roman" w:cs="Times New Roman"/>
                <w:spacing w:val="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chloride</w:t>
            </w:r>
            <w:r w:rsidRPr="009E0B7D">
              <w:rPr>
                <w:rFonts w:ascii="Times New Roman" w:hAnsi="Times New Roman" w:cs="Times New Roman"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</w:t>
            </w:r>
            <w:r w:rsidRPr="009E0B7D">
              <w:rPr>
                <w:rFonts w:ascii="Times New Roman" w:hAnsi="Times New Roman" w:cs="Times New Roman"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water</w:t>
            </w:r>
            <w:r w:rsidRPr="009E0B7D">
              <w:rPr>
                <w:rFonts w:ascii="Times New Roman" w:hAnsi="Times New Roman" w:cs="Times New Roman"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which</w:t>
            </w:r>
            <w:r w:rsidRPr="009E0B7D">
              <w:rPr>
                <w:rFonts w:ascii="Times New Roman" w:hAnsi="Times New Roman" w:cs="Times New Roman"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may</w:t>
            </w:r>
            <w:r w:rsidRPr="009E0B7D">
              <w:rPr>
                <w:rFonts w:ascii="Times New Roman" w:hAnsi="Times New Roman" w:cs="Times New Roman"/>
                <w:spacing w:val="-5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become</w:t>
            </w:r>
            <w:r w:rsidRPr="009E0B7D">
              <w:rPr>
                <w:rFonts w:ascii="Times New Roman" w:hAnsi="Times New Roman" w:cs="Times New Roman"/>
                <w:spacing w:val="-19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depleted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in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many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diseases.</w:t>
            </w:r>
          </w:p>
          <w:p w14:paraId="3F2E3DDB" w14:textId="77777777" w:rsidR="000E11F7" w:rsidRPr="009E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0" w:line="261" w:lineRule="auto"/>
              <w:ind w:right="70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May also be used as a solvent or</w:t>
            </w:r>
            <w:r w:rsidRPr="009E0B7D">
              <w:rPr>
                <w:rFonts w:ascii="Times New Roman" w:hAnsi="Times New Roman" w:cs="Times New Roman"/>
                <w:spacing w:val="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diluent, for antibiotics and other</w:t>
            </w:r>
            <w:r w:rsidRPr="009E0B7D">
              <w:rPr>
                <w:rFonts w:ascii="Times New Roman" w:hAnsi="Times New Roman" w:cs="Times New Roman"/>
                <w:spacing w:val="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pharmaceuticals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 biologicals where</w:t>
            </w:r>
            <w:r w:rsidRPr="009E0B7D">
              <w:rPr>
                <w:rFonts w:ascii="Times New Roman" w:hAnsi="Times New Roman" w:cs="Times New Roman"/>
                <w:spacing w:val="-19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compatible.</w:t>
            </w:r>
          </w:p>
          <w:p w14:paraId="6C07DFDC" w14:textId="77777777" w:rsidR="000E11F7" w:rsidRPr="009E0B7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0" w:line="261" w:lineRule="auto"/>
              <w:ind w:right="30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Washing mucous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membranes and other</w:t>
            </w:r>
            <w:r w:rsidRPr="009E0B7D">
              <w:rPr>
                <w:rFonts w:ascii="Times New Roman" w:hAnsi="Times New Roman" w:cs="Times New Roman"/>
                <w:spacing w:val="-20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tissue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surfaces.</w:t>
            </w:r>
          </w:p>
        </w:tc>
        <w:tc>
          <w:tcPr>
            <w:tcW w:w="1650" w:type="dxa"/>
          </w:tcPr>
          <w:p w14:paraId="0523EAF2" w14:textId="77777777" w:rsidR="000E11F7" w:rsidRPr="009E0B7D" w:rsidRDefault="00000000">
            <w:pPr>
              <w:pStyle w:val="TableParagraph"/>
              <w:spacing w:before="2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Administration:</w:t>
            </w:r>
          </w:p>
          <w:p w14:paraId="4DF8E84E" w14:textId="77777777" w:rsidR="000E11F7" w:rsidRPr="009E0B7D" w:rsidRDefault="00000000">
            <w:pPr>
              <w:pStyle w:val="TableParagraph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Subcutaneous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(SQ)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or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Intravenous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(IV)</w:t>
            </w:r>
          </w:p>
          <w:p w14:paraId="60F4E07C" w14:textId="77777777" w:rsidR="000E11F7" w:rsidRPr="009E0B7D" w:rsidRDefault="000E11F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8"/>
                <w:szCs w:val="40"/>
              </w:rPr>
            </w:pPr>
          </w:p>
          <w:p w14:paraId="2D54E152" w14:textId="77777777" w:rsidR="000E11F7" w:rsidRPr="009E0B7D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Dosage:</w:t>
            </w:r>
          </w:p>
          <w:p w14:paraId="2C54CC53" w14:textId="77777777" w:rsidR="000E11F7" w:rsidRPr="009E0B7D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Depending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on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the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size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and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condition</w:t>
            </w:r>
          </w:p>
        </w:tc>
        <w:tc>
          <w:tcPr>
            <w:tcW w:w="1650" w:type="dxa"/>
          </w:tcPr>
          <w:p w14:paraId="4C2F5535" w14:textId="77777777" w:rsidR="000E11F7" w:rsidRPr="009E0B7D" w:rsidRDefault="00000000">
            <w:pPr>
              <w:pStyle w:val="TableParagraph"/>
              <w:spacing w:before="2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contraindications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  <w:tc>
          <w:tcPr>
            <w:tcW w:w="1650" w:type="dxa"/>
          </w:tcPr>
          <w:p w14:paraId="4EE4AFEA" w14:textId="77777777" w:rsidR="000E11F7" w:rsidRPr="009E0B7D" w:rsidRDefault="00000000">
            <w:pPr>
              <w:pStyle w:val="TableParagraph"/>
              <w:spacing w:before="28"/>
              <w:ind w:left="32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withdrawal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period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  <w:tc>
          <w:tcPr>
            <w:tcW w:w="1650" w:type="dxa"/>
          </w:tcPr>
          <w:p w14:paraId="363D7FCC" w14:textId="77777777" w:rsidR="000E11F7" w:rsidRPr="009E0B7D" w:rsidRDefault="00000000">
            <w:pPr>
              <w:pStyle w:val="TableParagraph"/>
              <w:spacing w:before="28"/>
              <w:ind w:left="147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05"/>
                <w:sz w:val="16"/>
                <w:szCs w:val="40"/>
              </w:rPr>
              <w:t xml:space="preserve">-   </w:t>
            </w:r>
            <w:r w:rsidRPr="009E0B7D">
              <w:rPr>
                <w:rFonts w:ascii="Times New Roman" w:hAnsi="Times New Roman" w:cs="Times New Roman"/>
                <w:spacing w:val="7"/>
                <w:w w:val="105"/>
                <w:sz w:val="16"/>
                <w:szCs w:val="40"/>
              </w:rPr>
              <w:t xml:space="preserve"> </w:t>
            </w:r>
            <w:proofErr w:type="spellStart"/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Hypernatraemia</w:t>
            </w:r>
            <w:proofErr w:type="spellEnd"/>
          </w:p>
        </w:tc>
      </w:tr>
      <w:tr w:rsidR="000E11F7" w:rsidRPr="009E0B7D" w14:paraId="201CA751" w14:textId="77777777">
        <w:trPr>
          <w:trHeight w:val="505"/>
        </w:trPr>
        <w:tc>
          <w:tcPr>
            <w:tcW w:w="1650" w:type="dxa"/>
          </w:tcPr>
          <w:p w14:paraId="27135269" w14:textId="77777777" w:rsidR="000E11F7" w:rsidRPr="009E0B7D" w:rsidRDefault="00000000">
            <w:pPr>
              <w:pStyle w:val="TableParagraph"/>
              <w:spacing w:before="34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Dextrose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solution</w:t>
            </w:r>
          </w:p>
        </w:tc>
        <w:tc>
          <w:tcPr>
            <w:tcW w:w="1650" w:type="dxa"/>
          </w:tcPr>
          <w:p w14:paraId="2B4D5E30" w14:textId="77777777" w:rsidR="000E11F7" w:rsidRPr="009E0B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34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Dextrose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50%</w:t>
            </w:r>
          </w:p>
        </w:tc>
        <w:tc>
          <w:tcPr>
            <w:tcW w:w="1650" w:type="dxa"/>
          </w:tcPr>
          <w:p w14:paraId="52231B52" w14:textId="77777777" w:rsidR="000E11F7" w:rsidRPr="009E0B7D" w:rsidRDefault="00000000">
            <w:pPr>
              <w:pStyle w:val="TableParagraph"/>
              <w:spacing w:before="34" w:line="261" w:lineRule="auto"/>
              <w:ind w:left="262" w:right="135" w:hanging="115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05"/>
                <w:sz w:val="16"/>
                <w:szCs w:val="40"/>
              </w:rPr>
              <w:t xml:space="preserve">-    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 xml:space="preserve">Treatment of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acetonemia (ketosis) in</w:t>
            </w:r>
            <w:r w:rsidRPr="009E0B7D">
              <w:rPr>
                <w:rFonts w:ascii="Times New Roman" w:hAnsi="Times New Roman" w:cs="Times New Roman"/>
                <w:spacing w:val="-19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cattle</w:t>
            </w:r>
          </w:p>
        </w:tc>
        <w:tc>
          <w:tcPr>
            <w:tcW w:w="1650" w:type="dxa"/>
          </w:tcPr>
          <w:p w14:paraId="27DC085C" w14:textId="77777777" w:rsidR="000E11F7" w:rsidRPr="009E0B7D" w:rsidRDefault="00000000">
            <w:pPr>
              <w:pStyle w:val="TableParagraph"/>
              <w:spacing w:before="34" w:line="261" w:lineRule="auto"/>
              <w:ind w:right="903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Administration:</w:t>
            </w:r>
            <w:r w:rsidRPr="009E0B7D">
              <w:rPr>
                <w:rFonts w:ascii="Times New Roman" w:hAnsi="Times New Roman" w:cs="Times New Roman"/>
                <w:spacing w:val="1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>Intravenous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spacing w:val="-1"/>
                <w:w w:val="110"/>
                <w:sz w:val="16"/>
                <w:szCs w:val="40"/>
              </w:rPr>
              <w:t>(IV)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only</w:t>
            </w:r>
          </w:p>
          <w:p w14:paraId="3F3976A8" w14:textId="77777777" w:rsidR="000E11F7" w:rsidRPr="009E0B7D" w:rsidRDefault="000E11F7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40"/>
              </w:rPr>
            </w:pPr>
          </w:p>
          <w:p w14:paraId="1A89DE94" w14:textId="77777777" w:rsidR="000E11F7" w:rsidRPr="009E0B7D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Dosage:</w:t>
            </w:r>
          </w:p>
          <w:p w14:paraId="362C9B8C" w14:textId="77777777" w:rsidR="000E11F7" w:rsidRPr="009E0B7D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Mature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cattle-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100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-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500</w:t>
            </w:r>
            <w:r w:rsidRPr="009E0B7D">
              <w:rPr>
                <w:rFonts w:ascii="Times New Roman" w:hAnsi="Times New Roman" w:cs="Times New Roman"/>
                <w:spacing w:val="-2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mL</w:t>
            </w:r>
          </w:p>
        </w:tc>
        <w:tc>
          <w:tcPr>
            <w:tcW w:w="1650" w:type="dxa"/>
          </w:tcPr>
          <w:p w14:paraId="68582425" w14:textId="77777777" w:rsidR="000E11F7" w:rsidRPr="009E0B7D" w:rsidRDefault="00000000">
            <w:pPr>
              <w:pStyle w:val="TableParagraph"/>
              <w:spacing w:before="34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contraindications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  <w:tc>
          <w:tcPr>
            <w:tcW w:w="1650" w:type="dxa"/>
          </w:tcPr>
          <w:p w14:paraId="186F9AED" w14:textId="77777777" w:rsidR="000E11F7" w:rsidRPr="009E0B7D" w:rsidRDefault="00000000">
            <w:pPr>
              <w:pStyle w:val="TableParagraph"/>
              <w:spacing w:before="34"/>
              <w:ind w:left="32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withdrawal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period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  <w:tc>
          <w:tcPr>
            <w:tcW w:w="1650" w:type="dxa"/>
          </w:tcPr>
          <w:p w14:paraId="0C9736C4" w14:textId="77777777" w:rsidR="000E11F7" w:rsidRPr="009E0B7D" w:rsidRDefault="00000000">
            <w:pPr>
              <w:pStyle w:val="TableParagraph"/>
              <w:spacing w:before="34"/>
              <w:ind w:left="147"/>
              <w:rPr>
                <w:rFonts w:ascii="Times New Roman" w:hAnsi="Times New Roman" w:cs="Times New Roman"/>
                <w:sz w:val="16"/>
                <w:szCs w:val="40"/>
              </w:rPr>
            </w:pPr>
            <w:r w:rsidRPr="009E0B7D">
              <w:rPr>
                <w:rFonts w:ascii="Times New Roman" w:hAnsi="Times New Roman" w:cs="Times New Roman"/>
                <w:w w:val="105"/>
                <w:sz w:val="16"/>
                <w:szCs w:val="40"/>
              </w:rPr>
              <w:t xml:space="preserve">-   </w:t>
            </w:r>
            <w:r w:rsidRPr="009E0B7D">
              <w:rPr>
                <w:rFonts w:ascii="Times New Roman" w:hAnsi="Times New Roman" w:cs="Times New Roman"/>
                <w:spacing w:val="7"/>
                <w:w w:val="105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No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side</w:t>
            </w:r>
            <w:r w:rsidRPr="009E0B7D">
              <w:rPr>
                <w:rFonts w:ascii="Times New Roman" w:hAnsi="Times New Roman" w:cs="Times New Roman"/>
                <w:spacing w:val="-3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effects</w:t>
            </w:r>
            <w:r w:rsidRPr="009E0B7D">
              <w:rPr>
                <w:rFonts w:ascii="Times New Roman" w:hAnsi="Times New Roman" w:cs="Times New Roman"/>
                <w:spacing w:val="-4"/>
                <w:w w:val="110"/>
                <w:sz w:val="16"/>
                <w:szCs w:val="40"/>
              </w:rPr>
              <w:t xml:space="preserve"> </w:t>
            </w:r>
            <w:r w:rsidRPr="009E0B7D">
              <w:rPr>
                <w:rFonts w:ascii="Times New Roman" w:hAnsi="Times New Roman" w:cs="Times New Roman"/>
                <w:w w:val="110"/>
                <w:sz w:val="16"/>
                <w:szCs w:val="40"/>
              </w:rPr>
              <w:t>observed</w:t>
            </w:r>
          </w:p>
        </w:tc>
      </w:tr>
    </w:tbl>
    <w:p w14:paraId="064B850D" w14:textId="77777777" w:rsidR="00A4794B" w:rsidRPr="009E0B7D" w:rsidRDefault="00A4794B">
      <w:pPr>
        <w:rPr>
          <w:rFonts w:ascii="Times New Roman" w:hAnsi="Times New Roman" w:cs="Times New Roman"/>
          <w:sz w:val="40"/>
          <w:szCs w:val="40"/>
        </w:rPr>
      </w:pPr>
    </w:p>
    <w:sectPr w:rsidR="00A4794B" w:rsidRPr="009E0B7D">
      <w:type w:val="continuous"/>
      <w:pgSz w:w="12240" w:h="15840"/>
      <w:pgMar w:top="5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219"/>
    <w:multiLevelType w:val="hybridMultilevel"/>
    <w:tmpl w:val="491E88EE"/>
    <w:lvl w:ilvl="0" w:tplc="B41C1D08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w w:val="108"/>
        <w:sz w:val="7"/>
        <w:szCs w:val="7"/>
        <w:lang w:val="en-US" w:eastAsia="en-US" w:bidi="ar-SA"/>
      </w:rPr>
    </w:lvl>
    <w:lvl w:ilvl="1" w:tplc="17F449AE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1F428D52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F1AA981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26B09140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E1A28CC4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D83C2854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93F0D84C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7C6A4EAA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" w15:restartNumberingAfterBreak="0">
    <w:nsid w:val="55F018A1"/>
    <w:multiLevelType w:val="hybridMultilevel"/>
    <w:tmpl w:val="19788064"/>
    <w:lvl w:ilvl="0" w:tplc="ED821B86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w w:val="65"/>
        <w:sz w:val="7"/>
        <w:szCs w:val="7"/>
        <w:lang w:val="en-US" w:eastAsia="en-US" w:bidi="ar-SA"/>
      </w:rPr>
    </w:lvl>
    <w:lvl w:ilvl="1" w:tplc="4E4E9598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7D80F6E2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C922BCC8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CEAAEDEA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BCBAC162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82124F10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68C24BCE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A57AE31C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2" w15:restartNumberingAfterBreak="0">
    <w:nsid w:val="582A07C1"/>
    <w:multiLevelType w:val="hybridMultilevel"/>
    <w:tmpl w:val="5CE408C6"/>
    <w:lvl w:ilvl="0" w:tplc="11CC3848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w w:val="65"/>
        <w:sz w:val="7"/>
        <w:szCs w:val="7"/>
        <w:lang w:val="en-US" w:eastAsia="en-US" w:bidi="ar-SA"/>
      </w:rPr>
    </w:lvl>
    <w:lvl w:ilvl="1" w:tplc="90B8861A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042C5078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6B88DF2A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F8D8076A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DB8E917A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A04402DA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B51A1A34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9A5E9202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3" w15:restartNumberingAfterBreak="0">
    <w:nsid w:val="779B5606"/>
    <w:multiLevelType w:val="hybridMultilevel"/>
    <w:tmpl w:val="E5AA4B92"/>
    <w:lvl w:ilvl="0" w:tplc="94983196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w w:val="65"/>
        <w:sz w:val="7"/>
        <w:szCs w:val="7"/>
        <w:lang w:val="en-US" w:eastAsia="en-US" w:bidi="ar-SA"/>
      </w:rPr>
    </w:lvl>
    <w:lvl w:ilvl="1" w:tplc="C8D415A0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1A42D38A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F6B631B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BF5A6E04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0D909122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4C6AF36A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E2D46292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EEC6A19A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num w:numId="1" w16cid:durableId="704136937">
    <w:abstractNumId w:val="3"/>
  </w:num>
  <w:num w:numId="2" w16cid:durableId="267276071">
    <w:abstractNumId w:val="0"/>
  </w:num>
  <w:num w:numId="3" w16cid:durableId="1922060420">
    <w:abstractNumId w:val="2"/>
  </w:num>
  <w:num w:numId="4" w16cid:durableId="94936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1F7"/>
    <w:rsid w:val="000E11F7"/>
    <w:rsid w:val="009E0B7D"/>
    <w:rsid w:val="00A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75A8"/>
  <w15:docId w15:val="{44D5809E-D534-45BE-88AE-0966861B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jamali.john</cp:lastModifiedBy>
  <cp:revision>2</cp:revision>
  <dcterms:created xsi:type="dcterms:W3CDTF">2023-09-16T14:10:00Z</dcterms:created>
  <dcterms:modified xsi:type="dcterms:W3CDTF">2023-09-16T14:11:00Z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2023-09-16T00:00:00Z</vt:filetime>
  </property>
</Properties>
</file>