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BF9" w14:textId="6AD18B04" w:rsidR="00D202BE" w:rsidRDefault="001E6CFD">
      <w:r>
        <w:t>Acción tomada para eliminar la causa de una no conformidad potencial u otra situación potencialmente indeseable.</w:t>
      </w:r>
    </w:p>
    <w:p w14:paraId="35E9F0B8" w14:textId="77777777" w:rsidR="000A3116" w:rsidRDefault="000A3116" w:rsidP="000A3116">
      <w:r>
        <w:t>(ISO, 2000).</w:t>
      </w:r>
    </w:p>
    <w:p w14:paraId="03CEF717" w14:textId="77777777" w:rsidR="000A3116" w:rsidRDefault="000A3116"/>
    <w:sectPr w:rsidR="000A3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D"/>
    <w:rsid w:val="000A3116"/>
    <w:rsid w:val="001E6CFD"/>
    <w:rsid w:val="00D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C78C"/>
  <w15:chartTrackingRefBased/>
  <w15:docId w15:val="{3C598231-A03F-4AF4-BF1A-3AF14EE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2023-03-11T22:48:00Z</dcterms:created>
  <dcterms:modified xsi:type="dcterms:W3CDTF">2023-03-16T05:32:00Z</dcterms:modified>
</cp:coreProperties>
</file>