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BF7AC" w14:textId="242F68B5" w:rsidR="00C44227" w:rsidRDefault="006114EE" w:rsidP="00333D0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Para explicar esta relación este autor nos dice lo siguiente</w:t>
      </w:r>
      <w:r w:rsidR="00333D0A">
        <w:rPr>
          <w:sz w:val="28"/>
          <w:szCs w:val="28"/>
        </w:rPr>
        <w:t>:</w:t>
      </w:r>
    </w:p>
    <w:p w14:paraId="0576E22B" w14:textId="48727B09" w:rsidR="006114EE" w:rsidRDefault="006114EE" w:rsidP="006114EE">
      <w:pPr>
        <w:pStyle w:val="Prrafodelista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“</w:t>
      </w:r>
      <w:r w:rsidR="00333D0A">
        <w:rPr>
          <w:sz w:val="28"/>
          <w:szCs w:val="28"/>
        </w:rPr>
        <w:t xml:space="preserve">Uno a uno: </w:t>
      </w:r>
      <w:r w:rsidR="00333D0A" w:rsidRPr="00333D0A">
        <w:rPr>
          <w:sz w:val="28"/>
          <w:szCs w:val="28"/>
        </w:rPr>
        <w:t>Una entidad en A se asocia con a lo sumo una entidad en B, y una entidad en B se asocia con a lo sumo una entidad en A</w:t>
      </w:r>
      <w:r>
        <w:rPr>
          <w:sz w:val="28"/>
          <w:szCs w:val="28"/>
        </w:rPr>
        <w:t>”</w:t>
      </w:r>
    </w:p>
    <w:p w14:paraId="5D474CBE" w14:textId="6AE6E088" w:rsidR="00333D0A" w:rsidRPr="006114EE" w:rsidRDefault="00333D0A" w:rsidP="006114EE">
      <w:pPr>
        <w:pStyle w:val="Prrafodelista"/>
        <w:spacing w:line="360" w:lineRule="auto"/>
        <w:rPr>
          <w:sz w:val="28"/>
          <w:szCs w:val="28"/>
        </w:rPr>
      </w:pPr>
      <w:r w:rsidRPr="006114E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6114EE">
        <w:rPr>
          <w:rFonts w:ascii="Times New Roman" w:hAnsi="Times New Roman" w:cs="Times New Roman"/>
          <w:sz w:val="28"/>
          <w:szCs w:val="28"/>
        </w:rPr>
        <w:t>Silberschatz</w:t>
      </w:r>
      <w:proofErr w:type="spellEnd"/>
      <w:r w:rsidRPr="006114EE">
        <w:rPr>
          <w:rFonts w:ascii="Times New Roman" w:hAnsi="Times New Roman" w:cs="Times New Roman"/>
          <w:sz w:val="28"/>
          <w:szCs w:val="28"/>
        </w:rPr>
        <w:t xml:space="preserve"> et al., 2002, pág. 23)</w:t>
      </w:r>
      <w:r w:rsidR="006114EE">
        <w:rPr>
          <w:rFonts w:ascii="Times New Roman" w:hAnsi="Times New Roman" w:cs="Times New Roman"/>
          <w:sz w:val="28"/>
          <w:szCs w:val="28"/>
        </w:rPr>
        <w:t>.</w:t>
      </w:r>
    </w:p>
    <w:p w14:paraId="69DA80B2" w14:textId="77777777" w:rsidR="00333D0A" w:rsidRPr="00333D0A" w:rsidRDefault="00333D0A" w:rsidP="00333D0A">
      <w:pPr>
        <w:spacing w:line="360" w:lineRule="auto"/>
        <w:rPr>
          <w:sz w:val="28"/>
          <w:szCs w:val="28"/>
        </w:rPr>
      </w:pPr>
    </w:p>
    <w:p w14:paraId="4BD21D9A" w14:textId="77777777" w:rsidR="00333D0A" w:rsidRPr="00333D0A" w:rsidRDefault="00333D0A" w:rsidP="00333D0A">
      <w:pPr>
        <w:spacing w:line="360" w:lineRule="auto"/>
        <w:rPr>
          <w:sz w:val="28"/>
          <w:szCs w:val="28"/>
        </w:rPr>
      </w:pPr>
    </w:p>
    <w:p w14:paraId="3BAE9F20" w14:textId="77777777" w:rsidR="00333D0A" w:rsidRPr="00333D0A" w:rsidRDefault="00333D0A">
      <w:pPr>
        <w:rPr>
          <w:sz w:val="28"/>
          <w:szCs w:val="28"/>
        </w:rPr>
      </w:pPr>
    </w:p>
    <w:sectPr w:rsidR="00333D0A" w:rsidRPr="00333D0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22C7F"/>
    <w:multiLevelType w:val="hybridMultilevel"/>
    <w:tmpl w:val="59F448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D0A"/>
    <w:rsid w:val="00333D0A"/>
    <w:rsid w:val="006114EE"/>
    <w:rsid w:val="00C44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90E62"/>
  <w15:chartTrackingRefBased/>
  <w15:docId w15:val="{3B703EF4-E598-474C-A73E-7DFCAF495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33D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</Words>
  <Characters>199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 Hero14</dc:creator>
  <cp:keywords/>
  <dc:description/>
  <cp:lastModifiedBy>angel alvarez</cp:lastModifiedBy>
  <cp:revision>2</cp:revision>
  <dcterms:created xsi:type="dcterms:W3CDTF">2023-03-06T02:40:00Z</dcterms:created>
  <dcterms:modified xsi:type="dcterms:W3CDTF">2023-03-11T03:01:00Z</dcterms:modified>
</cp:coreProperties>
</file>