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38" w:rsidRPr="00A42E38" w:rsidRDefault="00A42E38">
      <w:pPr>
        <w:rPr>
          <w:b/>
        </w:rPr>
      </w:pPr>
      <w:r w:rsidRPr="00A42E38">
        <w:rPr>
          <w:b/>
        </w:rPr>
        <w:t>Lenguaje de descripción de datos (</w:t>
      </w:r>
      <w:bookmarkStart w:id="0" w:name="_GoBack"/>
      <w:r w:rsidRPr="00A42E38">
        <w:rPr>
          <w:b/>
        </w:rPr>
        <w:t>LDD</w:t>
      </w:r>
      <w:bookmarkEnd w:id="0"/>
      <w:r w:rsidRPr="00A42E38">
        <w:rPr>
          <w:b/>
        </w:rPr>
        <w:t>):</w:t>
      </w:r>
    </w:p>
    <w:p w:rsidR="00A66C73" w:rsidRDefault="00A42E38">
      <w:r>
        <w:t>El LDD nos Permite “especificar los sub esquemas, el esquema conceptual y el esquema interno de la base de datos, y las correspondencias que conllevan”.</w:t>
      </w:r>
      <w:r w:rsidRPr="00A42E38">
        <w:t xml:space="preserve"> </w:t>
      </w:r>
      <w:r>
        <w:t>(León, 2023, pág. 76).</w:t>
      </w:r>
    </w:p>
    <w:sectPr w:rsidR="00A66C73" w:rsidSect="00A42E38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38"/>
    <w:rsid w:val="00A42E38"/>
    <w:rsid w:val="00A6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A6C68-9740-4C9D-8C26-09DDFBC5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E38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alberto abarca bustamante</dc:creator>
  <cp:keywords/>
  <dc:description/>
  <cp:lastModifiedBy>jesus alberto abarca bustamante</cp:lastModifiedBy>
  <cp:revision>1</cp:revision>
  <dcterms:created xsi:type="dcterms:W3CDTF">2023-03-06T00:32:00Z</dcterms:created>
  <dcterms:modified xsi:type="dcterms:W3CDTF">2023-03-06T00:38:00Z</dcterms:modified>
</cp:coreProperties>
</file>