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E690" w14:textId="77777777" w:rsidR="00A879AF" w:rsidRPr="00A879AF" w:rsidRDefault="00A879AF" w:rsidP="00A879AF">
      <w:pPr>
        <w:pStyle w:val="NormalWeb"/>
        <w:jc w:val="center"/>
        <w:rPr>
          <w:b/>
          <w:bCs/>
          <w:color w:val="C45911" w:themeColor="accent2" w:themeShade="BF"/>
          <w:sz w:val="27"/>
          <w:szCs w:val="27"/>
          <w:u w:val="single"/>
        </w:rPr>
      </w:pPr>
      <w:r w:rsidRPr="00A879AF">
        <w:rPr>
          <w:b/>
          <w:bCs/>
          <w:color w:val="C45911" w:themeColor="accent2" w:themeShade="BF"/>
          <w:sz w:val="27"/>
          <w:szCs w:val="27"/>
          <w:u w:val="single"/>
        </w:rPr>
        <w:t>Techniques of Performing Splint Bone Removal Surgery</w:t>
      </w:r>
    </w:p>
    <w:p w14:paraId="74DD6EDA" w14:textId="77777777" w:rsidR="00A879AF" w:rsidRDefault="00A879AF" w:rsidP="00A879AF">
      <w:pPr>
        <w:pStyle w:val="NormalWeb"/>
        <w:rPr>
          <w:color w:val="000000"/>
          <w:sz w:val="27"/>
          <w:szCs w:val="27"/>
        </w:rPr>
      </w:pPr>
      <w:r>
        <w:rPr>
          <w:color w:val="000000"/>
          <w:sz w:val="27"/>
          <w:szCs w:val="27"/>
        </w:rPr>
        <w:t>Equipment</w:t>
      </w:r>
    </w:p>
    <w:p w14:paraId="318DE0C1" w14:textId="77777777" w:rsidR="00A879AF" w:rsidRPr="00A879AF" w:rsidRDefault="00A879AF" w:rsidP="00A879AF">
      <w:pPr>
        <w:pStyle w:val="NormalWeb"/>
        <w:numPr>
          <w:ilvl w:val="0"/>
          <w:numId w:val="2"/>
        </w:numPr>
        <w:rPr>
          <w:color w:val="000000"/>
        </w:rPr>
      </w:pPr>
      <w:r w:rsidRPr="00A879AF">
        <w:rPr>
          <w:color w:val="000000"/>
        </w:rPr>
        <w:t>22-gauge needle</w:t>
      </w:r>
    </w:p>
    <w:p w14:paraId="041B184D" w14:textId="2AF41731" w:rsidR="00A879AF" w:rsidRPr="00A879AF" w:rsidRDefault="00A879AF" w:rsidP="00A879AF">
      <w:pPr>
        <w:pStyle w:val="NormalWeb"/>
        <w:numPr>
          <w:ilvl w:val="0"/>
          <w:numId w:val="2"/>
        </w:numPr>
        <w:rPr>
          <w:color w:val="000000"/>
        </w:rPr>
      </w:pPr>
      <w:r w:rsidRPr="00A879AF">
        <w:rPr>
          <w:color w:val="000000"/>
        </w:rPr>
        <w:t>5 mL syringe</w:t>
      </w:r>
    </w:p>
    <w:p w14:paraId="1E7FF826" w14:textId="086800FF" w:rsidR="00A879AF" w:rsidRPr="00A879AF" w:rsidRDefault="00A879AF" w:rsidP="00A879AF">
      <w:pPr>
        <w:pStyle w:val="NormalWeb"/>
        <w:numPr>
          <w:ilvl w:val="0"/>
          <w:numId w:val="2"/>
        </w:numPr>
        <w:rPr>
          <w:color w:val="000000"/>
        </w:rPr>
      </w:pPr>
      <w:r w:rsidRPr="00A879AF">
        <w:rPr>
          <w:color w:val="000000"/>
        </w:rPr>
        <w:t>Operating table</w:t>
      </w:r>
    </w:p>
    <w:p w14:paraId="2E5F89CB" w14:textId="6BA6BB35" w:rsidR="00A879AF" w:rsidRPr="00A879AF" w:rsidRDefault="00A879AF" w:rsidP="00A879AF">
      <w:pPr>
        <w:pStyle w:val="NormalWeb"/>
        <w:numPr>
          <w:ilvl w:val="0"/>
          <w:numId w:val="2"/>
        </w:numPr>
        <w:rPr>
          <w:color w:val="000000"/>
        </w:rPr>
      </w:pPr>
      <w:r w:rsidRPr="00A879AF">
        <w:rPr>
          <w:color w:val="000000"/>
        </w:rPr>
        <w:t>Endotracheal tube</w:t>
      </w:r>
    </w:p>
    <w:p w14:paraId="22360F3C" w14:textId="2D4D1EB9" w:rsidR="00A879AF" w:rsidRPr="00A879AF" w:rsidRDefault="00A879AF" w:rsidP="00A879AF">
      <w:pPr>
        <w:pStyle w:val="NormalWeb"/>
        <w:numPr>
          <w:ilvl w:val="0"/>
          <w:numId w:val="2"/>
        </w:numPr>
        <w:rPr>
          <w:color w:val="000000"/>
        </w:rPr>
      </w:pPr>
      <w:r w:rsidRPr="00A879AF">
        <w:rPr>
          <w:color w:val="000000"/>
        </w:rPr>
        <w:t>Tourniquet</w:t>
      </w:r>
    </w:p>
    <w:p w14:paraId="0EF32626" w14:textId="5E3CF677" w:rsidR="00A879AF" w:rsidRPr="00A879AF" w:rsidRDefault="00A879AF" w:rsidP="00A879AF">
      <w:pPr>
        <w:pStyle w:val="NormalWeb"/>
        <w:numPr>
          <w:ilvl w:val="0"/>
          <w:numId w:val="2"/>
        </w:numPr>
        <w:rPr>
          <w:color w:val="000000"/>
        </w:rPr>
      </w:pPr>
      <w:r w:rsidRPr="00A879AF">
        <w:rPr>
          <w:color w:val="000000"/>
        </w:rPr>
        <w:t>Wound drape</w:t>
      </w:r>
    </w:p>
    <w:p w14:paraId="210B3FDF" w14:textId="0F173848" w:rsidR="00A879AF" w:rsidRPr="00A879AF" w:rsidRDefault="00A879AF" w:rsidP="00A879AF">
      <w:pPr>
        <w:pStyle w:val="NormalWeb"/>
        <w:numPr>
          <w:ilvl w:val="0"/>
          <w:numId w:val="2"/>
        </w:numPr>
        <w:rPr>
          <w:color w:val="000000"/>
        </w:rPr>
      </w:pPr>
      <w:r w:rsidRPr="00A879AF">
        <w:rPr>
          <w:color w:val="000000"/>
        </w:rPr>
        <w:t>Scalpel blade</w:t>
      </w:r>
    </w:p>
    <w:p w14:paraId="479E0D1A" w14:textId="37F6352F" w:rsidR="00A879AF" w:rsidRPr="00A879AF" w:rsidRDefault="00A879AF" w:rsidP="00A879AF">
      <w:pPr>
        <w:pStyle w:val="NormalWeb"/>
        <w:numPr>
          <w:ilvl w:val="0"/>
          <w:numId w:val="2"/>
        </w:numPr>
        <w:rPr>
          <w:color w:val="000000"/>
        </w:rPr>
      </w:pPr>
      <w:r w:rsidRPr="00A879AF">
        <w:rPr>
          <w:color w:val="000000"/>
        </w:rPr>
        <w:t>Wound distractors</w:t>
      </w:r>
    </w:p>
    <w:p w14:paraId="1569760A" w14:textId="249000BE" w:rsidR="00A879AF" w:rsidRPr="00A879AF" w:rsidRDefault="00A879AF" w:rsidP="00A879AF">
      <w:pPr>
        <w:pStyle w:val="NormalWeb"/>
        <w:numPr>
          <w:ilvl w:val="0"/>
          <w:numId w:val="2"/>
        </w:numPr>
        <w:rPr>
          <w:color w:val="000000"/>
        </w:rPr>
      </w:pPr>
      <w:r w:rsidRPr="00A879AF">
        <w:rPr>
          <w:color w:val="000000"/>
        </w:rPr>
        <w:t>Chisel (Osteotome)</w:t>
      </w:r>
    </w:p>
    <w:p w14:paraId="09E21E13" w14:textId="4BDB2D2F" w:rsidR="00A879AF" w:rsidRPr="00A879AF" w:rsidRDefault="00A879AF" w:rsidP="00A879AF">
      <w:pPr>
        <w:pStyle w:val="NormalWeb"/>
        <w:numPr>
          <w:ilvl w:val="0"/>
          <w:numId w:val="2"/>
        </w:numPr>
        <w:rPr>
          <w:color w:val="000000"/>
        </w:rPr>
      </w:pPr>
      <w:r w:rsidRPr="00A879AF">
        <w:rPr>
          <w:color w:val="000000"/>
        </w:rPr>
        <w:t>Mallet</w:t>
      </w:r>
    </w:p>
    <w:p w14:paraId="00BB0F80" w14:textId="11010282" w:rsidR="00A879AF" w:rsidRPr="00A879AF" w:rsidRDefault="00A879AF" w:rsidP="00A879AF">
      <w:pPr>
        <w:pStyle w:val="NormalWeb"/>
        <w:numPr>
          <w:ilvl w:val="0"/>
          <w:numId w:val="2"/>
        </w:numPr>
        <w:rPr>
          <w:color w:val="000000"/>
        </w:rPr>
      </w:pPr>
      <w:r w:rsidRPr="00A879AF">
        <w:rPr>
          <w:color w:val="000000"/>
        </w:rPr>
        <w:t>Absorbable suture &amp; Needle</w:t>
      </w:r>
    </w:p>
    <w:p w14:paraId="234E5EA5" w14:textId="5275789F" w:rsidR="00A879AF" w:rsidRPr="00A879AF" w:rsidRDefault="00A879AF" w:rsidP="00A879AF">
      <w:pPr>
        <w:pStyle w:val="NormalWeb"/>
        <w:numPr>
          <w:ilvl w:val="0"/>
          <w:numId w:val="2"/>
        </w:numPr>
        <w:rPr>
          <w:color w:val="000000"/>
        </w:rPr>
      </w:pPr>
      <w:r w:rsidRPr="00A879AF">
        <w:rPr>
          <w:color w:val="000000"/>
        </w:rPr>
        <w:t>Needle holder</w:t>
      </w:r>
    </w:p>
    <w:p w14:paraId="10919BD0" w14:textId="6C78CE44" w:rsidR="00A879AF" w:rsidRPr="00A879AF" w:rsidRDefault="00A879AF" w:rsidP="00A879AF">
      <w:pPr>
        <w:pStyle w:val="NormalWeb"/>
        <w:numPr>
          <w:ilvl w:val="0"/>
          <w:numId w:val="2"/>
        </w:numPr>
        <w:rPr>
          <w:color w:val="000000"/>
        </w:rPr>
      </w:pPr>
      <w:r w:rsidRPr="00A879AF">
        <w:rPr>
          <w:color w:val="000000"/>
        </w:rPr>
        <w:t>Forceps</w:t>
      </w:r>
    </w:p>
    <w:p w14:paraId="3D133E8F" w14:textId="6DA966AF" w:rsidR="00A879AF" w:rsidRPr="00A879AF" w:rsidRDefault="00A879AF" w:rsidP="00A879AF">
      <w:pPr>
        <w:pStyle w:val="NormalWeb"/>
        <w:numPr>
          <w:ilvl w:val="0"/>
          <w:numId w:val="2"/>
        </w:numPr>
        <w:rPr>
          <w:color w:val="000000"/>
        </w:rPr>
      </w:pPr>
      <w:r w:rsidRPr="00A879AF">
        <w:rPr>
          <w:color w:val="000000"/>
        </w:rPr>
        <w:t>Penrose drains</w:t>
      </w:r>
    </w:p>
    <w:p w14:paraId="2653DACA" w14:textId="0EF5F1A1" w:rsidR="00A879AF" w:rsidRPr="00A879AF" w:rsidRDefault="00A879AF" w:rsidP="00A879AF">
      <w:pPr>
        <w:pStyle w:val="NormalWeb"/>
        <w:numPr>
          <w:ilvl w:val="0"/>
          <w:numId w:val="2"/>
        </w:numPr>
        <w:rPr>
          <w:color w:val="000000"/>
        </w:rPr>
      </w:pPr>
      <w:r w:rsidRPr="00A879AF">
        <w:rPr>
          <w:color w:val="000000"/>
        </w:rPr>
        <w:t>Gauze</w:t>
      </w:r>
    </w:p>
    <w:p w14:paraId="79FD49A7" w14:textId="11C04053" w:rsidR="00A879AF" w:rsidRPr="00A879AF" w:rsidRDefault="00A879AF" w:rsidP="00A879AF">
      <w:pPr>
        <w:pStyle w:val="NormalWeb"/>
        <w:numPr>
          <w:ilvl w:val="0"/>
          <w:numId w:val="2"/>
        </w:numPr>
        <w:rPr>
          <w:color w:val="000000"/>
        </w:rPr>
      </w:pPr>
      <w:r w:rsidRPr="00A879AF">
        <w:rPr>
          <w:color w:val="000000"/>
        </w:rPr>
        <w:t>Tetanus antitoxin</w:t>
      </w:r>
    </w:p>
    <w:p w14:paraId="04FF7672" w14:textId="506B2979" w:rsidR="00A879AF" w:rsidRPr="00A879AF" w:rsidRDefault="00A879AF" w:rsidP="00A879AF">
      <w:pPr>
        <w:pStyle w:val="NormalWeb"/>
        <w:numPr>
          <w:ilvl w:val="0"/>
          <w:numId w:val="2"/>
        </w:numPr>
        <w:rPr>
          <w:color w:val="000000"/>
        </w:rPr>
      </w:pPr>
      <w:r w:rsidRPr="00A879AF">
        <w:rPr>
          <w:color w:val="000000"/>
        </w:rPr>
        <w:t>Antibiotics</w:t>
      </w:r>
    </w:p>
    <w:p w14:paraId="576FA0BF" w14:textId="6AF0B76C" w:rsidR="00A879AF" w:rsidRPr="00A879AF" w:rsidRDefault="00A879AF" w:rsidP="00A879AF">
      <w:pPr>
        <w:pStyle w:val="NormalWeb"/>
        <w:numPr>
          <w:ilvl w:val="0"/>
          <w:numId w:val="2"/>
        </w:numPr>
        <w:rPr>
          <w:color w:val="000000"/>
        </w:rPr>
      </w:pPr>
      <w:r w:rsidRPr="00A879AF">
        <w:rPr>
          <w:color w:val="000000"/>
        </w:rPr>
        <w:t>Local anaesthetics</w:t>
      </w:r>
    </w:p>
    <w:p w14:paraId="7076951A" w14:textId="7BDE7521" w:rsidR="00A879AF" w:rsidRPr="00A879AF" w:rsidRDefault="00A879AF" w:rsidP="00A879AF">
      <w:pPr>
        <w:pStyle w:val="NormalWeb"/>
        <w:numPr>
          <w:ilvl w:val="0"/>
          <w:numId w:val="2"/>
        </w:numPr>
        <w:rPr>
          <w:color w:val="000000"/>
        </w:rPr>
      </w:pPr>
      <w:r w:rsidRPr="00A879AF">
        <w:rPr>
          <w:color w:val="000000"/>
        </w:rPr>
        <w:t>General anaesthetics</w:t>
      </w:r>
    </w:p>
    <w:p w14:paraId="1042FEDC" w14:textId="646786EC" w:rsidR="00A879AF" w:rsidRPr="00A879AF" w:rsidRDefault="00A879AF" w:rsidP="00A879AF">
      <w:pPr>
        <w:pStyle w:val="NormalWeb"/>
        <w:numPr>
          <w:ilvl w:val="0"/>
          <w:numId w:val="2"/>
        </w:numPr>
        <w:rPr>
          <w:color w:val="000000"/>
        </w:rPr>
      </w:pPr>
      <w:r w:rsidRPr="00A879AF">
        <w:rPr>
          <w:color w:val="000000"/>
        </w:rPr>
        <w:t>Surgical staples</w:t>
      </w:r>
    </w:p>
    <w:p w14:paraId="32614FD2" w14:textId="6D5BA1C2" w:rsidR="00A879AF" w:rsidRPr="00A879AF" w:rsidRDefault="00A879AF" w:rsidP="00A879AF">
      <w:pPr>
        <w:pStyle w:val="NormalWeb"/>
        <w:numPr>
          <w:ilvl w:val="0"/>
          <w:numId w:val="2"/>
        </w:numPr>
        <w:rPr>
          <w:color w:val="000000"/>
        </w:rPr>
      </w:pPr>
      <w:r w:rsidRPr="00A879AF">
        <w:rPr>
          <w:color w:val="000000"/>
        </w:rPr>
        <w:t>Oscillating Saw</w:t>
      </w:r>
    </w:p>
    <w:p w14:paraId="3C539DF3" w14:textId="65E8199D" w:rsidR="00A879AF" w:rsidRPr="00A879AF" w:rsidRDefault="00A879AF" w:rsidP="00A879AF">
      <w:pPr>
        <w:pStyle w:val="NormalWeb"/>
        <w:spacing w:before="0" w:beforeAutospacing="0" w:after="0" w:afterAutospacing="0"/>
        <w:rPr>
          <w:b/>
          <w:bCs/>
          <w:u w:val="single"/>
        </w:rPr>
      </w:pPr>
      <w:r w:rsidRPr="00A879AF">
        <w:rPr>
          <w:b/>
          <w:bCs/>
          <w:color w:val="C45911" w:themeColor="accent2" w:themeShade="BF"/>
          <w:u w:val="single"/>
        </w:rPr>
        <w:t>Surgical procedure </w:t>
      </w:r>
    </w:p>
    <w:p w14:paraId="6EDF5282" w14:textId="77777777" w:rsidR="00A879AF" w:rsidRDefault="00A879AF" w:rsidP="00A879AF">
      <w:pPr>
        <w:pStyle w:val="NormalWeb"/>
        <w:numPr>
          <w:ilvl w:val="0"/>
          <w:numId w:val="1"/>
        </w:numPr>
        <w:spacing w:before="0" w:beforeAutospacing="0" w:after="0" w:afterAutospacing="0"/>
        <w:textAlignment w:val="baseline"/>
        <w:rPr>
          <w:color w:val="000000"/>
        </w:rPr>
      </w:pPr>
      <w:r>
        <w:rPr>
          <w:color w:val="000000"/>
        </w:rPr>
        <w:t>A longitudinal incision is made through the skin and subcutaneous tissues, over the full length of the lateral aspect of the fourth metatarsal bone. (2 cm proximal to the head and 2 cm distal to the button, of the fourth metatarsal) </w:t>
      </w:r>
    </w:p>
    <w:p w14:paraId="086D4043" w14:textId="77777777" w:rsidR="00A879AF" w:rsidRDefault="00A879AF" w:rsidP="00A879AF">
      <w:pPr>
        <w:pStyle w:val="NormalWeb"/>
        <w:numPr>
          <w:ilvl w:val="0"/>
          <w:numId w:val="1"/>
        </w:numPr>
        <w:spacing w:before="0" w:beforeAutospacing="0" w:after="0" w:afterAutospacing="0"/>
        <w:textAlignment w:val="baseline"/>
        <w:rPr>
          <w:color w:val="000000"/>
        </w:rPr>
      </w:pPr>
      <w:r>
        <w:rPr>
          <w:color w:val="000000"/>
        </w:rPr>
        <w:t xml:space="preserve">Locate the bone by placing a </w:t>
      </w:r>
      <w:proofErr w:type="gramStart"/>
      <w:r>
        <w:rPr>
          <w:color w:val="000000"/>
        </w:rPr>
        <w:t>20 gauge</w:t>
      </w:r>
      <w:proofErr w:type="gramEnd"/>
      <w:r>
        <w:rPr>
          <w:color w:val="000000"/>
        </w:rPr>
        <w:t>, 3.3 cm needle at the most proximal end of the bone in the tarsometatarsal joint. </w:t>
      </w:r>
    </w:p>
    <w:p w14:paraId="624707B4" w14:textId="77777777" w:rsidR="00A879AF" w:rsidRDefault="00A879AF" w:rsidP="00A879AF">
      <w:pPr>
        <w:pStyle w:val="NormalWeb"/>
        <w:numPr>
          <w:ilvl w:val="0"/>
          <w:numId w:val="1"/>
        </w:numPr>
        <w:spacing w:before="0" w:beforeAutospacing="0" w:after="0" w:afterAutospacing="0"/>
        <w:textAlignment w:val="baseline"/>
        <w:rPr>
          <w:color w:val="000000"/>
        </w:rPr>
      </w:pPr>
      <w:r>
        <w:rPr>
          <w:color w:val="000000"/>
        </w:rPr>
        <w:t>Sharply dissect out the splint bone and elevate the bone from surrounding tissues, beginning distally. </w:t>
      </w:r>
    </w:p>
    <w:p w14:paraId="59FF7B86" w14:textId="77777777" w:rsidR="00A879AF" w:rsidRDefault="00A879AF" w:rsidP="00A879AF">
      <w:pPr>
        <w:pStyle w:val="NormalWeb"/>
        <w:numPr>
          <w:ilvl w:val="0"/>
          <w:numId w:val="1"/>
        </w:numPr>
        <w:spacing w:before="0" w:beforeAutospacing="0" w:after="0" w:afterAutospacing="0"/>
        <w:textAlignment w:val="baseline"/>
        <w:rPr>
          <w:color w:val="000000"/>
        </w:rPr>
      </w:pPr>
      <w:r>
        <w:rPr>
          <w:color w:val="000000"/>
        </w:rPr>
        <w:t>Preserve the metatarsal artery and surrounding soft tissues. </w:t>
      </w:r>
    </w:p>
    <w:p w14:paraId="3932BC8A" w14:textId="77777777" w:rsidR="00A879AF" w:rsidRDefault="00A879AF" w:rsidP="00A879AF">
      <w:pPr>
        <w:pStyle w:val="NormalWeb"/>
        <w:numPr>
          <w:ilvl w:val="0"/>
          <w:numId w:val="1"/>
        </w:numPr>
        <w:spacing w:before="0" w:beforeAutospacing="0" w:after="0" w:afterAutospacing="0"/>
        <w:textAlignment w:val="baseline"/>
        <w:rPr>
          <w:color w:val="000000"/>
        </w:rPr>
      </w:pPr>
      <w:r>
        <w:rPr>
          <w:color w:val="000000"/>
        </w:rPr>
        <w:t>Remove the distal part of the splint bone below the fracture site </w:t>
      </w:r>
    </w:p>
    <w:p w14:paraId="6A77D372" w14:textId="77777777" w:rsidR="00A879AF" w:rsidRDefault="00A879AF" w:rsidP="00A879AF">
      <w:pPr>
        <w:pStyle w:val="NormalWeb"/>
        <w:numPr>
          <w:ilvl w:val="0"/>
          <w:numId w:val="1"/>
        </w:numPr>
        <w:spacing w:before="0" w:beforeAutospacing="0" w:after="0" w:afterAutospacing="0"/>
        <w:textAlignment w:val="baseline"/>
        <w:rPr>
          <w:color w:val="000000"/>
        </w:rPr>
      </w:pPr>
      <w:r>
        <w:rPr>
          <w:color w:val="000000"/>
        </w:rPr>
        <w:t xml:space="preserve">Once the fracture site is reached, remove the fracture </w:t>
      </w:r>
      <w:proofErr w:type="gramStart"/>
      <w:r>
        <w:rPr>
          <w:color w:val="000000"/>
        </w:rPr>
        <w:t>fragments</w:t>
      </w:r>
      <w:proofErr w:type="gramEnd"/>
      <w:r>
        <w:rPr>
          <w:color w:val="000000"/>
        </w:rPr>
        <w:t xml:space="preserve"> and debride any infected or damaged tissue skin or </w:t>
      </w:r>
      <w:proofErr w:type="spellStart"/>
      <w:r>
        <w:rPr>
          <w:color w:val="000000"/>
        </w:rPr>
        <w:t>sequestra</w:t>
      </w:r>
      <w:proofErr w:type="spellEnd"/>
      <w:r>
        <w:rPr>
          <w:color w:val="000000"/>
        </w:rPr>
        <w:t>. </w:t>
      </w:r>
    </w:p>
    <w:p w14:paraId="11F7AA0A" w14:textId="77777777" w:rsidR="00A879AF" w:rsidRDefault="00A879AF" w:rsidP="00A879AF">
      <w:pPr>
        <w:pStyle w:val="NormalWeb"/>
        <w:numPr>
          <w:ilvl w:val="0"/>
          <w:numId w:val="1"/>
        </w:numPr>
        <w:spacing w:before="0" w:beforeAutospacing="0" w:after="0" w:afterAutospacing="0"/>
        <w:textAlignment w:val="baseline"/>
        <w:rPr>
          <w:color w:val="000000"/>
        </w:rPr>
      </w:pPr>
      <w:r>
        <w:rPr>
          <w:color w:val="000000"/>
        </w:rPr>
        <w:t>Sharply dissect the proximal end of the bone through the proximal ligamentous attachments (lateral long collateral ligament and plantar ligament attachments to the fourth metatarsal bone) and the tarsometatarsal articulations.</w:t>
      </w:r>
    </w:p>
    <w:p w14:paraId="6542EB24" w14:textId="77777777" w:rsidR="00A879AF" w:rsidRDefault="00A879AF" w:rsidP="00A879AF">
      <w:pPr>
        <w:pStyle w:val="NormalWeb"/>
        <w:numPr>
          <w:ilvl w:val="0"/>
          <w:numId w:val="1"/>
        </w:numPr>
        <w:spacing w:before="0" w:beforeAutospacing="0" w:after="0" w:afterAutospacing="0"/>
        <w:textAlignment w:val="baseline"/>
        <w:rPr>
          <w:color w:val="000000"/>
        </w:rPr>
      </w:pPr>
      <w:r>
        <w:rPr>
          <w:color w:val="000000"/>
        </w:rPr>
        <w:t>Use an osteotome/periosteal elevator and small hammer if necessary to transect the interosseous attachment to the 3rd metatarsal bone</w:t>
      </w:r>
    </w:p>
    <w:p w14:paraId="5343B60B" w14:textId="77777777" w:rsidR="00A879AF" w:rsidRDefault="00A879AF" w:rsidP="00A879AF">
      <w:pPr>
        <w:pStyle w:val="NormalWeb"/>
        <w:numPr>
          <w:ilvl w:val="0"/>
          <w:numId w:val="1"/>
        </w:numPr>
        <w:spacing w:before="0" w:beforeAutospacing="0" w:after="0" w:afterAutospacing="0"/>
        <w:textAlignment w:val="baseline"/>
        <w:rPr>
          <w:color w:val="000000"/>
        </w:rPr>
      </w:pPr>
      <w:r>
        <w:rPr>
          <w:color w:val="000000"/>
        </w:rPr>
        <w:t>Debride and curette damaged area as required </w:t>
      </w:r>
    </w:p>
    <w:p w14:paraId="67ABA866" w14:textId="77777777" w:rsidR="00A879AF" w:rsidRDefault="00A879AF" w:rsidP="00A879AF">
      <w:pPr>
        <w:pStyle w:val="NormalWeb"/>
        <w:numPr>
          <w:ilvl w:val="0"/>
          <w:numId w:val="1"/>
        </w:numPr>
        <w:spacing w:before="0" w:beforeAutospacing="0" w:after="0" w:afterAutospacing="0"/>
        <w:textAlignment w:val="baseline"/>
        <w:rPr>
          <w:color w:val="000000"/>
        </w:rPr>
      </w:pPr>
      <w:r>
        <w:rPr>
          <w:color w:val="000000"/>
        </w:rPr>
        <w:t>Curette articular facets of the tarsometatarsal joint and any localised damage at the fracture site involving 3rd metatarsal bone.    </w:t>
      </w:r>
    </w:p>
    <w:p w14:paraId="3F683A2E" w14:textId="77777777" w:rsidR="00A879AF" w:rsidRDefault="00A879AF" w:rsidP="00A879AF">
      <w:pPr>
        <w:pStyle w:val="NormalWeb"/>
        <w:numPr>
          <w:ilvl w:val="0"/>
          <w:numId w:val="1"/>
        </w:numPr>
        <w:spacing w:before="0" w:beforeAutospacing="0" w:after="0" w:afterAutospacing="0"/>
        <w:textAlignment w:val="baseline"/>
        <w:rPr>
          <w:color w:val="000000"/>
        </w:rPr>
      </w:pPr>
      <w:r>
        <w:rPr>
          <w:color w:val="000000"/>
        </w:rPr>
        <w:t>Collect tissue for culture and sensitivity if necessary. </w:t>
      </w:r>
    </w:p>
    <w:p w14:paraId="1C8CCA7C" w14:textId="77777777" w:rsidR="00A879AF" w:rsidRDefault="00A879AF" w:rsidP="00A879AF">
      <w:pPr>
        <w:pStyle w:val="NormalWeb"/>
        <w:numPr>
          <w:ilvl w:val="0"/>
          <w:numId w:val="1"/>
        </w:numPr>
        <w:spacing w:before="0" w:beforeAutospacing="0" w:after="0" w:afterAutospacing="0"/>
        <w:textAlignment w:val="baseline"/>
        <w:rPr>
          <w:color w:val="000000"/>
        </w:rPr>
      </w:pPr>
      <w:r>
        <w:rPr>
          <w:color w:val="000000"/>
        </w:rPr>
        <w:lastRenderedPageBreak/>
        <w:t>Flush the entire surgical site liberally with sterile isotonic fluid +/- 0.1% povidone-iodine solution  </w:t>
      </w:r>
    </w:p>
    <w:p w14:paraId="6040AD5E" w14:textId="77777777" w:rsidR="00A879AF" w:rsidRDefault="00A879AF" w:rsidP="00A879AF">
      <w:pPr>
        <w:pStyle w:val="NormalWeb"/>
        <w:numPr>
          <w:ilvl w:val="0"/>
          <w:numId w:val="1"/>
        </w:numPr>
        <w:spacing w:before="0" w:beforeAutospacing="0" w:after="0" w:afterAutospacing="0"/>
        <w:textAlignment w:val="baseline"/>
        <w:rPr>
          <w:color w:val="000000"/>
        </w:rPr>
      </w:pPr>
      <w:r>
        <w:rPr>
          <w:color w:val="000000"/>
        </w:rPr>
        <w:t>Close routinely with deeper tissue and subcuticular layers of simple continuous synthetic absorbable sutures plus surgical skin staples or simple interrupted non-absorbable skin sutures</w:t>
      </w:r>
    </w:p>
    <w:p w14:paraId="2C47E370" w14:textId="77777777" w:rsidR="00A879AF" w:rsidRDefault="00A879AF" w:rsidP="00A879AF">
      <w:pPr>
        <w:pStyle w:val="NormalWeb"/>
        <w:numPr>
          <w:ilvl w:val="0"/>
          <w:numId w:val="1"/>
        </w:numPr>
        <w:spacing w:before="0" w:beforeAutospacing="0" w:after="0" w:afterAutospacing="0"/>
        <w:textAlignment w:val="baseline"/>
        <w:rPr>
          <w:color w:val="000000"/>
        </w:rPr>
      </w:pPr>
      <w:r>
        <w:rPr>
          <w:color w:val="000000"/>
        </w:rPr>
        <w:t>If excessive amounts are present the insertion of a small Penrose drain left for 24-48 h will encourage drainage</w:t>
      </w:r>
    </w:p>
    <w:p w14:paraId="5CED15EE" w14:textId="77777777" w:rsidR="00A879AF" w:rsidRDefault="00A879AF" w:rsidP="00A879AF">
      <w:pPr>
        <w:pStyle w:val="NormalWeb"/>
        <w:numPr>
          <w:ilvl w:val="0"/>
          <w:numId w:val="1"/>
        </w:numPr>
        <w:spacing w:before="0" w:beforeAutospacing="0" w:after="0" w:afterAutospacing="0"/>
        <w:textAlignment w:val="baseline"/>
        <w:rPr>
          <w:color w:val="000000"/>
        </w:rPr>
      </w:pPr>
      <w:r>
        <w:rPr>
          <w:color w:val="000000"/>
        </w:rPr>
        <w:t xml:space="preserve">Apply a sterile absorbable wound dressing and </w:t>
      </w:r>
      <w:proofErr w:type="gramStart"/>
      <w:r>
        <w:rPr>
          <w:color w:val="000000"/>
        </w:rPr>
        <w:t>two or three layer</w:t>
      </w:r>
      <w:proofErr w:type="gramEnd"/>
      <w:r>
        <w:rPr>
          <w:color w:val="000000"/>
        </w:rPr>
        <w:t xml:space="preserve"> full limb Robert Jones pressure bandage</w:t>
      </w:r>
    </w:p>
    <w:p w14:paraId="0E6F27ED" w14:textId="77777777" w:rsidR="00A879AF" w:rsidRDefault="00A879AF" w:rsidP="00A879AF">
      <w:pPr>
        <w:pStyle w:val="NormalWeb"/>
        <w:numPr>
          <w:ilvl w:val="0"/>
          <w:numId w:val="1"/>
        </w:numPr>
        <w:spacing w:before="0" w:beforeAutospacing="0" w:after="0" w:afterAutospacing="0"/>
        <w:textAlignment w:val="baseline"/>
        <w:rPr>
          <w:color w:val="000000"/>
        </w:rPr>
      </w:pPr>
      <w:r>
        <w:rPr>
          <w:color w:val="000000"/>
        </w:rPr>
        <w:t>To protect against possible fracture of the third metatarsal bone and/or luxation of the tarsometatarsal joint, two splints are attached to the bandage (laterally and from point of calcaneus distal to foot) for recovery from GA. Assisted recovery procedures are also helpful</w:t>
      </w:r>
    </w:p>
    <w:p w14:paraId="3BC6E6B9" w14:textId="77777777" w:rsidR="00A879AF" w:rsidRDefault="00A879AF"/>
    <w:sectPr w:rsidR="00A87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1BF0"/>
    <w:multiLevelType w:val="hybridMultilevel"/>
    <w:tmpl w:val="FEA82ECC"/>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69BC1033"/>
    <w:multiLevelType w:val="multilevel"/>
    <w:tmpl w:val="5EF6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079349">
    <w:abstractNumId w:val="1"/>
  </w:num>
  <w:num w:numId="2" w16cid:durableId="176699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AF"/>
    <w:rsid w:val="00A879AF"/>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2B11"/>
  <w15:chartTrackingRefBased/>
  <w15:docId w15:val="{2DCD288F-AE8F-41E8-A08F-C58E710D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79AF"/>
    <w:pPr>
      <w:spacing w:before="100" w:beforeAutospacing="1" w:after="100" w:afterAutospacing="1" w:line="240" w:lineRule="auto"/>
    </w:pPr>
    <w:rPr>
      <w:rFonts w:ascii="Times New Roman" w:eastAsia="Times New Roman" w:hAnsi="Times New Roman" w:cs="Times New Roman"/>
      <w:sz w:val="24"/>
      <w:szCs w:val="24"/>
      <w:lang w:eastAsia="en-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034377">
      <w:bodyDiv w:val="1"/>
      <w:marLeft w:val="0"/>
      <w:marRight w:val="0"/>
      <w:marTop w:val="0"/>
      <w:marBottom w:val="0"/>
      <w:divBdr>
        <w:top w:val="none" w:sz="0" w:space="0" w:color="auto"/>
        <w:left w:val="none" w:sz="0" w:space="0" w:color="auto"/>
        <w:bottom w:val="none" w:sz="0" w:space="0" w:color="auto"/>
        <w:right w:val="none" w:sz="0" w:space="0" w:color="auto"/>
      </w:divBdr>
    </w:div>
    <w:div w:id="1586377738">
      <w:bodyDiv w:val="1"/>
      <w:marLeft w:val="0"/>
      <w:marRight w:val="0"/>
      <w:marTop w:val="0"/>
      <w:marBottom w:val="0"/>
      <w:divBdr>
        <w:top w:val="none" w:sz="0" w:space="0" w:color="auto"/>
        <w:left w:val="none" w:sz="0" w:space="0" w:color="auto"/>
        <w:bottom w:val="none" w:sz="0" w:space="0" w:color="auto"/>
        <w:right w:val="none" w:sz="0" w:space="0" w:color="auto"/>
      </w:divBdr>
    </w:div>
    <w:div w:id="1738673641">
      <w:bodyDiv w:val="1"/>
      <w:marLeft w:val="0"/>
      <w:marRight w:val="0"/>
      <w:marTop w:val="0"/>
      <w:marBottom w:val="0"/>
      <w:divBdr>
        <w:top w:val="none" w:sz="0" w:space="0" w:color="auto"/>
        <w:left w:val="none" w:sz="0" w:space="0" w:color="auto"/>
        <w:bottom w:val="none" w:sz="0" w:space="0" w:color="auto"/>
        <w:right w:val="none" w:sz="0" w:space="0" w:color="auto"/>
      </w:divBdr>
    </w:div>
    <w:div w:id="185784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Kedisha Hope</dc:creator>
  <cp:keywords/>
  <dc:description/>
  <cp:lastModifiedBy>Kedisha Hope</cp:lastModifiedBy>
  <cp:revision>1</cp:revision>
  <dcterms:created xsi:type="dcterms:W3CDTF">2022-10-26T11:28:00Z</dcterms:created>
  <dcterms:modified xsi:type="dcterms:W3CDTF">2022-10-26T11:38:00Z</dcterms:modified>
</cp:coreProperties>
</file>