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2AFE" w14:textId="77777777" w:rsidR="008540FD" w:rsidRPr="008540FD" w:rsidRDefault="008540FD" w:rsidP="008540FD">
      <w:pPr>
        <w:pStyle w:val="NormalWeb"/>
        <w:spacing w:before="0" w:beforeAutospacing="0" w:after="0" w:afterAutospacing="0"/>
        <w:rPr>
          <w:b/>
          <w:bCs/>
          <w:color w:val="C45911" w:themeColor="accent2" w:themeShade="BF"/>
          <w:sz w:val="36"/>
          <w:szCs w:val="36"/>
        </w:rPr>
      </w:pPr>
      <w:r w:rsidRPr="008540FD">
        <w:rPr>
          <w:b/>
          <w:bCs/>
          <w:color w:val="C45911" w:themeColor="accent2" w:themeShade="BF"/>
          <w:sz w:val="36"/>
          <w:szCs w:val="36"/>
        </w:rPr>
        <w:t>Tenoscopic approach </w:t>
      </w:r>
    </w:p>
    <w:p w14:paraId="1D911231" w14:textId="77777777" w:rsidR="008540FD" w:rsidRDefault="008540FD" w:rsidP="008540FD">
      <w:pPr>
        <w:pStyle w:val="NormalWeb"/>
        <w:numPr>
          <w:ilvl w:val="0"/>
          <w:numId w:val="1"/>
        </w:numPr>
        <w:spacing w:before="0" w:beforeAutospacing="0" w:after="0" w:afterAutospacing="0"/>
        <w:textAlignment w:val="baseline"/>
        <w:rPr>
          <w:color w:val="000000"/>
        </w:rPr>
      </w:pPr>
      <w:r>
        <w:rPr>
          <w:color w:val="000000"/>
        </w:rPr>
        <w:t>Identify anatomical landmarks</w:t>
      </w:r>
    </w:p>
    <w:p w14:paraId="617392F4" w14:textId="77777777" w:rsidR="008540FD" w:rsidRDefault="008540FD" w:rsidP="008540FD">
      <w:pPr>
        <w:pStyle w:val="NormalWeb"/>
        <w:numPr>
          <w:ilvl w:val="1"/>
          <w:numId w:val="1"/>
        </w:numPr>
        <w:spacing w:before="0" w:beforeAutospacing="0" w:after="0" w:afterAutospacing="0"/>
        <w:textAlignment w:val="baseline"/>
        <w:rPr>
          <w:color w:val="000000"/>
        </w:rPr>
      </w:pPr>
      <w:r>
        <w:rPr>
          <w:color w:val="000000"/>
        </w:rPr>
        <w:t>Identify radial head of DDFT, cranial edge of DDFT, caudal aspect of radius, and proximal reflection of carpal sheath.</w:t>
      </w:r>
    </w:p>
    <w:p w14:paraId="29D97A7A" w14:textId="77777777" w:rsidR="008540FD" w:rsidRDefault="008540FD" w:rsidP="008540FD">
      <w:pPr>
        <w:pStyle w:val="NormalWeb"/>
        <w:numPr>
          <w:ilvl w:val="1"/>
          <w:numId w:val="1"/>
        </w:numPr>
        <w:spacing w:before="0" w:beforeAutospacing="0" w:after="0" w:afterAutospacing="0"/>
        <w:textAlignment w:val="baseline"/>
        <w:rPr>
          <w:color w:val="000000"/>
        </w:rPr>
      </w:pPr>
      <w:r>
        <w:rPr>
          <w:color w:val="000000"/>
        </w:rPr>
        <w:t>The distal border of the ALSDFT is usually level with the aponeurosis of the radial head of the DDFT with the main body of the DDFT. </w:t>
      </w:r>
    </w:p>
    <w:p w14:paraId="173C5A03" w14:textId="77777777" w:rsidR="008540FD" w:rsidRDefault="008540FD" w:rsidP="008540FD">
      <w:pPr>
        <w:pStyle w:val="NormalWeb"/>
        <w:numPr>
          <w:ilvl w:val="0"/>
          <w:numId w:val="1"/>
        </w:numPr>
        <w:spacing w:before="0" w:beforeAutospacing="0" w:after="0" w:afterAutospacing="0"/>
        <w:textAlignment w:val="baseline"/>
        <w:rPr>
          <w:color w:val="000000"/>
        </w:rPr>
      </w:pPr>
      <w:r>
        <w:rPr>
          <w:color w:val="000000"/>
        </w:rPr>
        <w:t>Make instrumental portal </w:t>
      </w:r>
    </w:p>
    <w:p w14:paraId="0155E7B5" w14:textId="77777777" w:rsidR="008540FD" w:rsidRDefault="008540FD" w:rsidP="008540FD">
      <w:pPr>
        <w:pStyle w:val="NormalWeb"/>
        <w:numPr>
          <w:ilvl w:val="1"/>
          <w:numId w:val="1"/>
        </w:numPr>
        <w:spacing w:before="0" w:beforeAutospacing="0" w:after="0" w:afterAutospacing="0"/>
        <w:textAlignment w:val="baseline"/>
        <w:rPr>
          <w:color w:val="000000"/>
        </w:rPr>
      </w:pPr>
      <w:r>
        <w:rPr>
          <w:color w:val="000000"/>
        </w:rPr>
        <w:t>Make instrument portal 4-6 cm distal to the arthroscope portal through the lateral aspect of the carpal sheath</w:t>
      </w:r>
    </w:p>
    <w:p w14:paraId="57A6AA39" w14:textId="77777777" w:rsidR="008540FD" w:rsidRDefault="008540FD" w:rsidP="008540FD">
      <w:pPr>
        <w:pStyle w:val="NormalWeb"/>
        <w:numPr>
          <w:ilvl w:val="0"/>
          <w:numId w:val="1"/>
        </w:numPr>
        <w:spacing w:before="0" w:beforeAutospacing="0" w:after="0" w:afterAutospacing="0"/>
        <w:textAlignment w:val="baseline"/>
        <w:rPr>
          <w:color w:val="000000"/>
        </w:rPr>
      </w:pPr>
      <w:r>
        <w:rPr>
          <w:color w:val="000000"/>
        </w:rPr>
        <w:t>Identify ALSDFT</w:t>
      </w:r>
    </w:p>
    <w:p w14:paraId="2FDD31A3" w14:textId="77777777" w:rsidR="008540FD" w:rsidRDefault="008540FD" w:rsidP="008540FD">
      <w:pPr>
        <w:pStyle w:val="NormalWeb"/>
        <w:numPr>
          <w:ilvl w:val="1"/>
          <w:numId w:val="1"/>
        </w:numPr>
        <w:spacing w:before="0" w:beforeAutospacing="0" w:after="0" w:afterAutospacing="0"/>
        <w:textAlignment w:val="baseline"/>
        <w:rPr>
          <w:color w:val="000000"/>
        </w:rPr>
      </w:pPr>
      <w:r>
        <w:rPr>
          <w:color w:val="000000"/>
        </w:rPr>
        <w:t>Verify distal limit of the ALSDFT using a blunt probe.</w:t>
      </w:r>
    </w:p>
    <w:p w14:paraId="53C612DB" w14:textId="77777777" w:rsidR="008540FD" w:rsidRDefault="008540FD" w:rsidP="008540FD">
      <w:pPr>
        <w:pStyle w:val="NormalWeb"/>
        <w:numPr>
          <w:ilvl w:val="1"/>
          <w:numId w:val="1"/>
        </w:numPr>
        <w:spacing w:before="0" w:beforeAutospacing="0" w:after="0" w:afterAutospacing="0"/>
        <w:textAlignment w:val="baseline"/>
        <w:rPr>
          <w:color w:val="000000"/>
        </w:rPr>
      </w:pPr>
      <w:r>
        <w:rPr>
          <w:color w:val="000000"/>
        </w:rPr>
        <w:t>The ALSDFT is subsynovial</w:t>
      </w:r>
    </w:p>
    <w:p w14:paraId="70CE30D3" w14:textId="77777777" w:rsidR="008540FD" w:rsidRDefault="008540FD" w:rsidP="008540FD">
      <w:pPr>
        <w:pStyle w:val="NormalWeb"/>
        <w:numPr>
          <w:ilvl w:val="0"/>
          <w:numId w:val="1"/>
        </w:numPr>
        <w:spacing w:before="0" w:beforeAutospacing="0" w:after="0" w:afterAutospacing="0"/>
        <w:textAlignment w:val="baseline"/>
        <w:rPr>
          <w:color w:val="000000"/>
        </w:rPr>
      </w:pPr>
      <w:r>
        <w:rPr>
          <w:color w:val="000000"/>
        </w:rPr>
        <w:t>Server ALSDFT </w:t>
      </w:r>
    </w:p>
    <w:p w14:paraId="3134039E" w14:textId="77777777" w:rsidR="008540FD" w:rsidRDefault="008540FD" w:rsidP="008540FD">
      <w:pPr>
        <w:pStyle w:val="NormalWeb"/>
        <w:numPr>
          <w:ilvl w:val="1"/>
          <w:numId w:val="1"/>
        </w:numPr>
        <w:spacing w:before="0" w:beforeAutospacing="0" w:after="0" w:afterAutospacing="0"/>
        <w:textAlignment w:val="baseline"/>
        <w:rPr>
          <w:color w:val="000000"/>
        </w:rPr>
      </w:pPr>
      <w:r>
        <w:rPr>
          <w:color w:val="000000"/>
        </w:rPr>
        <w:t>Sever the ALSDFT using a straight serrated blade, a curved serrated blade or 90° angled radiofrequency probe.</w:t>
      </w:r>
    </w:p>
    <w:p w14:paraId="337B8CB5" w14:textId="77777777" w:rsidR="008540FD" w:rsidRDefault="008540FD" w:rsidP="008540FD">
      <w:pPr>
        <w:pStyle w:val="NormalWeb"/>
        <w:numPr>
          <w:ilvl w:val="1"/>
          <w:numId w:val="1"/>
        </w:numPr>
        <w:spacing w:before="0" w:beforeAutospacing="0" w:after="0" w:afterAutospacing="0"/>
        <w:textAlignment w:val="baseline"/>
        <w:rPr>
          <w:color w:val="000000"/>
        </w:rPr>
      </w:pPr>
      <w:r>
        <w:rPr>
          <w:color w:val="000000"/>
        </w:rPr>
        <w:t>Cut across the fibres distal to proximal commencing at its distal border.</w:t>
      </w:r>
    </w:p>
    <w:p w14:paraId="25D1BA19" w14:textId="77777777" w:rsidR="008540FD" w:rsidRDefault="008540FD" w:rsidP="008540FD">
      <w:pPr>
        <w:pStyle w:val="NormalWeb"/>
        <w:numPr>
          <w:ilvl w:val="1"/>
          <w:numId w:val="1"/>
        </w:numPr>
        <w:spacing w:before="0" w:beforeAutospacing="0" w:after="0" w:afterAutospacing="0"/>
        <w:textAlignment w:val="baseline"/>
        <w:rPr>
          <w:color w:val="000000"/>
        </w:rPr>
      </w:pPr>
      <w:r>
        <w:rPr>
          <w:color w:val="000000"/>
        </w:rPr>
        <w:t>Locate the body of the ALSDFT beyond the reflection of the carpal sheath.</w:t>
      </w:r>
    </w:p>
    <w:p w14:paraId="79DD095A" w14:textId="77777777" w:rsidR="008540FD" w:rsidRDefault="008540FD" w:rsidP="008540FD">
      <w:pPr>
        <w:pStyle w:val="NormalWeb"/>
        <w:numPr>
          <w:ilvl w:val="1"/>
          <w:numId w:val="1"/>
        </w:numPr>
        <w:spacing w:before="0" w:beforeAutospacing="0" w:after="0" w:afterAutospacing="0"/>
        <w:textAlignment w:val="baseline"/>
        <w:rPr>
          <w:color w:val="000000"/>
        </w:rPr>
      </w:pPr>
      <w:r>
        <w:rPr>
          <w:color w:val="000000"/>
        </w:rPr>
        <w:t>Sever using a biopsy punch rongeur or radiofrequency probe</w:t>
      </w:r>
    </w:p>
    <w:p w14:paraId="2FBCAB58" w14:textId="77777777" w:rsidR="008540FD" w:rsidRDefault="008540FD" w:rsidP="008540FD">
      <w:pPr>
        <w:pStyle w:val="NormalWeb"/>
        <w:numPr>
          <w:ilvl w:val="1"/>
          <w:numId w:val="1"/>
        </w:numPr>
        <w:spacing w:before="0" w:beforeAutospacing="0" w:after="0" w:afterAutospacing="0"/>
        <w:textAlignment w:val="baseline"/>
        <w:rPr>
          <w:color w:val="000000"/>
        </w:rPr>
      </w:pPr>
      <w:r>
        <w:rPr>
          <w:color w:val="000000"/>
        </w:rPr>
        <w:t>The thin sheath around the flexor carpi radialis tendon is routinely penetrated and marks the medial endpoint for the dissection</w:t>
      </w:r>
    </w:p>
    <w:p w14:paraId="74062D4D" w14:textId="77777777" w:rsidR="008540FD" w:rsidRDefault="008540FD" w:rsidP="008540FD">
      <w:pPr>
        <w:pStyle w:val="NormalWeb"/>
        <w:numPr>
          <w:ilvl w:val="0"/>
          <w:numId w:val="1"/>
        </w:numPr>
        <w:spacing w:before="0" w:beforeAutospacing="0" w:after="0" w:afterAutospacing="0"/>
        <w:textAlignment w:val="baseline"/>
        <w:rPr>
          <w:color w:val="000000"/>
        </w:rPr>
      </w:pPr>
      <w:r>
        <w:rPr>
          <w:color w:val="000000"/>
        </w:rPr>
        <w:t>Control haemorrhage </w:t>
      </w:r>
    </w:p>
    <w:p w14:paraId="2C04D71D" w14:textId="77777777" w:rsidR="008540FD" w:rsidRDefault="008540FD" w:rsidP="008540FD">
      <w:pPr>
        <w:pStyle w:val="NormalWeb"/>
        <w:numPr>
          <w:ilvl w:val="1"/>
          <w:numId w:val="1"/>
        </w:numPr>
        <w:spacing w:before="0" w:beforeAutospacing="0" w:after="0" w:afterAutospacing="0"/>
        <w:textAlignment w:val="baseline"/>
        <w:rPr>
          <w:color w:val="000000"/>
        </w:rPr>
      </w:pPr>
      <w:r>
        <w:rPr>
          <w:color w:val="000000"/>
        </w:rPr>
        <w:t>Haemorrhage from the artery within the ALSDFT can be controlled to allow completion of the surgery by using increased distending fluid pressure, (particularly in dorsal recumbency), bipolar laparoscopic cautery forceps or application of a hemostatic clip</w:t>
      </w:r>
    </w:p>
    <w:p w14:paraId="50BD3BFD" w14:textId="77777777" w:rsidR="008540FD" w:rsidRDefault="008540FD" w:rsidP="008540FD">
      <w:pPr>
        <w:pStyle w:val="NormalWeb"/>
        <w:numPr>
          <w:ilvl w:val="0"/>
          <w:numId w:val="1"/>
        </w:numPr>
        <w:spacing w:before="0" w:beforeAutospacing="0" w:after="0" w:afterAutospacing="0"/>
        <w:textAlignment w:val="baseline"/>
        <w:rPr>
          <w:color w:val="000000"/>
        </w:rPr>
      </w:pPr>
      <w:r>
        <w:rPr>
          <w:color w:val="000000"/>
        </w:rPr>
        <w:t>Examine flexor tendons </w:t>
      </w:r>
    </w:p>
    <w:p w14:paraId="06B34B8E" w14:textId="77777777" w:rsidR="008540FD" w:rsidRDefault="008540FD" w:rsidP="008540FD">
      <w:pPr>
        <w:pStyle w:val="NormalWeb"/>
        <w:numPr>
          <w:ilvl w:val="1"/>
          <w:numId w:val="1"/>
        </w:numPr>
        <w:spacing w:before="0" w:beforeAutospacing="0" w:after="0" w:afterAutospacing="0"/>
        <w:textAlignment w:val="baseline"/>
        <w:rPr>
          <w:color w:val="000000"/>
        </w:rPr>
      </w:pPr>
      <w:r>
        <w:rPr>
          <w:color w:val="000000"/>
        </w:rPr>
        <w:t>Carefully examine the surfaces of the flexor tendons for any concurrent injuries, which may require treatment or have an effect on prognosis</w:t>
      </w:r>
    </w:p>
    <w:p w14:paraId="2766369E" w14:textId="77777777" w:rsidR="008540FD" w:rsidRDefault="008540FD" w:rsidP="008540FD">
      <w:pPr>
        <w:pStyle w:val="NormalWeb"/>
        <w:numPr>
          <w:ilvl w:val="0"/>
          <w:numId w:val="1"/>
        </w:numPr>
        <w:spacing w:before="0" w:beforeAutospacing="0" w:after="0" w:afterAutospacing="0"/>
        <w:textAlignment w:val="baseline"/>
        <w:rPr>
          <w:color w:val="000000"/>
        </w:rPr>
      </w:pPr>
      <w:r>
        <w:rPr>
          <w:color w:val="000000"/>
        </w:rPr>
        <w:t>Close wound </w:t>
      </w:r>
    </w:p>
    <w:p w14:paraId="174A0F70" w14:textId="77777777" w:rsidR="008540FD" w:rsidRDefault="008540FD" w:rsidP="008540FD">
      <w:pPr>
        <w:pStyle w:val="NormalWeb"/>
        <w:numPr>
          <w:ilvl w:val="1"/>
          <w:numId w:val="1"/>
        </w:numPr>
        <w:spacing w:before="0" w:beforeAutospacing="0" w:after="0" w:afterAutospacing="0"/>
        <w:textAlignment w:val="baseline"/>
        <w:rPr>
          <w:color w:val="000000"/>
        </w:rPr>
      </w:pPr>
      <w:r>
        <w:rPr>
          <w:color w:val="000000"/>
        </w:rPr>
        <w:t>Withdraw instruments, arthroscope and flushing apparatus </w:t>
      </w:r>
    </w:p>
    <w:p w14:paraId="0F3EEC78" w14:textId="77777777" w:rsidR="008540FD" w:rsidRDefault="008540FD" w:rsidP="008540FD">
      <w:pPr>
        <w:pStyle w:val="NormalWeb"/>
        <w:numPr>
          <w:ilvl w:val="1"/>
          <w:numId w:val="1"/>
        </w:numPr>
        <w:spacing w:before="0" w:beforeAutospacing="0" w:after="0" w:afterAutospacing="0"/>
        <w:textAlignment w:val="baseline"/>
        <w:rPr>
          <w:color w:val="000000"/>
        </w:rPr>
      </w:pPr>
      <w:r>
        <w:rPr>
          <w:color w:val="000000"/>
        </w:rPr>
        <w:t>Close the skin portals with skin staples or simple interrupted 2 or 3 metric synthetic non-absorbable sutures</w:t>
      </w:r>
    </w:p>
    <w:p w14:paraId="421AC0A5" w14:textId="5053297D" w:rsidR="008540FD" w:rsidRDefault="008540FD">
      <w:r>
        <w:rPr>
          <w:noProof/>
          <w:color w:val="000000"/>
          <w:bdr w:val="none" w:sz="0" w:space="0" w:color="auto" w:frame="1"/>
        </w:rPr>
        <w:lastRenderedPageBreak/>
        <w:drawing>
          <wp:inline distT="0" distB="0" distL="0" distR="0" wp14:anchorId="216B936D" wp14:editId="37038F78">
            <wp:extent cx="4238625" cy="457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38625" cy="4572000"/>
                    </a:xfrm>
                    <a:prstGeom prst="rect">
                      <a:avLst/>
                    </a:prstGeom>
                    <a:noFill/>
                    <a:ln>
                      <a:noFill/>
                    </a:ln>
                  </pic:spPr>
                </pic:pic>
              </a:graphicData>
            </a:graphic>
          </wp:inline>
        </w:drawing>
      </w:r>
    </w:p>
    <w:sectPr w:rsidR="008540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B5AEE"/>
    <w:multiLevelType w:val="multilevel"/>
    <w:tmpl w:val="4FFE4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0441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0FD"/>
    <w:rsid w:val="008540FD"/>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5E2D7"/>
  <w15:chartTrackingRefBased/>
  <w15:docId w15:val="{AE63C152-0D60-4605-8056-E55378BC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40FD"/>
    <w:pPr>
      <w:spacing w:before="100" w:beforeAutospacing="1" w:after="100" w:afterAutospacing="1" w:line="240" w:lineRule="auto"/>
    </w:pPr>
    <w:rPr>
      <w:rFonts w:ascii="Times New Roman" w:eastAsia="Times New Roman" w:hAnsi="Times New Roman" w:cs="Times New Roman"/>
      <w:sz w:val="24"/>
      <w:szCs w:val="24"/>
      <w:lang w:eastAsia="en-T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00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Kedisha Hope</dc:creator>
  <cp:keywords/>
  <dc:description/>
  <cp:lastModifiedBy>Kedisha Hope</cp:lastModifiedBy>
  <cp:revision>1</cp:revision>
  <dcterms:created xsi:type="dcterms:W3CDTF">2022-10-26T10:35:00Z</dcterms:created>
  <dcterms:modified xsi:type="dcterms:W3CDTF">2022-10-26T10:37:00Z</dcterms:modified>
</cp:coreProperties>
</file>