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9780D" w14:textId="65879590" w:rsidR="00F731BA" w:rsidRPr="00A17E47" w:rsidRDefault="00F731BA" w:rsidP="00A17E47">
      <w:pPr>
        <w:rPr>
          <w:rFonts w:ascii="Times New Roman" w:hAnsi="Times New Roman" w:cs="Times New Roman"/>
          <w:b/>
          <w:bCs/>
          <w:color w:val="F4B083" w:themeColor="accent2" w:themeTint="99"/>
          <w:sz w:val="40"/>
          <w:szCs w:val="40"/>
        </w:rPr>
      </w:pPr>
    </w:p>
    <w:tbl>
      <w:tblPr>
        <w:tblStyle w:val="GridTable5Dark-Accent2"/>
        <w:tblW w:w="14798" w:type="dxa"/>
        <w:tblLook w:val="04A0" w:firstRow="1" w:lastRow="0" w:firstColumn="1" w:lastColumn="0" w:noHBand="0" w:noVBand="1"/>
      </w:tblPr>
      <w:tblGrid>
        <w:gridCol w:w="2045"/>
        <w:gridCol w:w="2003"/>
        <w:gridCol w:w="2553"/>
        <w:gridCol w:w="2436"/>
        <w:gridCol w:w="2768"/>
        <w:gridCol w:w="2993"/>
      </w:tblGrid>
      <w:tr w:rsidR="00A17E47" w:rsidRPr="00A17E47" w14:paraId="1BA9C0E9" w14:textId="41DCDA52" w:rsidTr="00A17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1B02D6AB" w14:textId="57D72A13" w:rsidR="00426F16" w:rsidRPr="00A17E47" w:rsidRDefault="00426F16" w:rsidP="00A17E47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Drug Name</w:t>
            </w:r>
          </w:p>
        </w:tc>
        <w:tc>
          <w:tcPr>
            <w:tcW w:w="2055" w:type="dxa"/>
          </w:tcPr>
          <w:p w14:paraId="56F22168" w14:textId="7475F065" w:rsidR="00426F16" w:rsidRPr="00A17E47" w:rsidRDefault="00426F16" w:rsidP="00A17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Class</w:t>
            </w:r>
          </w:p>
        </w:tc>
        <w:tc>
          <w:tcPr>
            <w:tcW w:w="2583" w:type="dxa"/>
          </w:tcPr>
          <w:p w14:paraId="21F870F8" w14:textId="6B943632" w:rsidR="00426F16" w:rsidRPr="00A17E47" w:rsidRDefault="00426F16" w:rsidP="00A17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Usage</w:t>
            </w:r>
          </w:p>
        </w:tc>
        <w:tc>
          <w:tcPr>
            <w:tcW w:w="2243" w:type="dxa"/>
          </w:tcPr>
          <w:p w14:paraId="531299EF" w14:textId="2FEFFE65" w:rsidR="00426F16" w:rsidRPr="00A17E47" w:rsidRDefault="00426F16" w:rsidP="00A17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Route of Administration</w:t>
            </w:r>
          </w:p>
        </w:tc>
        <w:tc>
          <w:tcPr>
            <w:tcW w:w="2815" w:type="dxa"/>
          </w:tcPr>
          <w:p w14:paraId="0BA83660" w14:textId="24FF47A1" w:rsidR="00426F16" w:rsidRPr="00A17E47" w:rsidRDefault="00426F16" w:rsidP="00A17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Dosage</w:t>
            </w:r>
          </w:p>
        </w:tc>
        <w:tc>
          <w:tcPr>
            <w:tcW w:w="3038" w:type="dxa"/>
          </w:tcPr>
          <w:p w14:paraId="50B04AD6" w14:textId="706BA448" w:rsidR="00426F16" w:rsidRPr="00A17E47" w:rsidRDefault="009D32E3" w:rsidP="00A17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Adverse Reaction</w:t>
            </w:r>
          </w:p>
        </w:tc>
      </w:tr>
      <w:tr w:rsidR="00A17E47" w:rsidRPr="00A17E47" w14:paraId="3C694FCF" w14:textId="1633E5C9" w:rsidTr="00A17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5A5A70C7" w14:textId="704DBE8E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2% Xylazine</w:t>
            </w:r>
          </w:p>
        </w:tc>
        <w:tc>
          <w:tcPr>
            <w:tcW w:w="2055" w:type="dxa"/>
          </w:tcPr>
          <w:p w14:paraId="5AA55CBB" w14:textId="6FD41D4E" w:rsidR="00426F16" w:rsidRPr="00A17E47" w:rsidRDefault="00426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Alpha-2 adrenoceptor stimulant</w:t>
            </w:r>
          </w:p>
        </w:tc>
        <w:tc>
          <w:tcPr>
            <w:tcW w:w="2583" w:type="dxa"/>
          </w:tcPr>
          <w:p w14:paraId="5E03FD07" w14:textId="75C16FFE" w:rsidR="009D32E3" w:rsidRPr="00A17E47" w:rsidRDefault="009D32E3" w:rsidP="00A04D6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26F16" w:rsidRPr="00A17E47">
              <w:rPr>
                <w:rFonts w:ascii="Times New Roman" w:hAnsi="Times New Roman" w:cs="Times New Roman"/>
                <w:sz w:val="24"/>
                <w:szCs w:val="24"/>
              </w:rPr>
              <w:t>edation</w:t>
            </w:r>
          </w:p>
          <w:p w14:paraId="53EF735F" w14:textId="16C216BA" w:rsidR="009D32E3" w:rsidRPr="00A17E47" w:rsidRDefault="009D32E3" w:rsidP="00A04D6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Pre-</w:t>
            </w:r>
            <w:r w:rsidR="00A04D6C"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medication</w:t>
            </w:r>
          </w:p>
          <w:p w14:paraId="14E354FE" w14:textId="17F39DA2" w:rsidR="00426F16" w:rsidRPr="00A17E47" w:rsidRDefault="00426F16" w:rsidP="00A04D6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general </w:t>
            </w:r>
            <w:r w:rsidR="00A04D6C"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in combination with ketamine.</w:t>
            </w:r>
          </w:p>
        </w:tc>
        <w:tc>
          <w:tcPr>
            <w:tcW w:w="2243" w:type="dxa"/>
          </w:tcPr>
          <w:p w14:paraId="79E25BD8" w14:textId="77777777" w:rsidR="00A17E47" w:rsidRPr="00A17E47" w:rsidRDefault="00A04D6C" w:rsidP="00A17E4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</w:p>
          <w:p w14:paraId="70404CB1" w14:textId="504ECB84" w:rsidR="00426F16" w:rsidRPr="00A17E47" w:rsidRDefault="00A04D6C" w:rsidP="00A17E4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IV (IV is more recommended)</w:t>
            </w:r>
          </w:p>
        </w:tc>
        <w:tc>
          <w:tcPr>
            <w:tcW w:w="2815" w:type="dxa"/>
          </w:tcPr>
          <w:p w14:paraId="6C9C6575" w14:textId="77777777" w:rsidR="00A04D6C" w:rsidRPr="00A17E47" w:rsidRDefault="00A04D6C" w:rsidP="00A71234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2.2 mg/kg (1 mg/lb) IM injection.</w:t>
            </w:r>
          </w:p>
          <w:p w14:paraId="6DCB19E2" w14:textId="46ED1DD5" w:rsidR="00426F16" w:rsidRPr="00A17E47" w:rsidRDefault="00A04D6C" w:rsidP="00A71234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0.25-1.1 mg/kg (0.5 mg/lb) IV injection</w:t>
            </w:r>
          </w:p>
        </w:tc>
        <w:tc>
          <w:tcPr>
            <w:tcW w:w="3038" w:type="dxa"/>
          </w:tcPr>
          <w:p w14:paraId="78F4D869" w14:textId="77777777" w:rsidR="00A04D6C" w:rsidRPr="00A17E47" w:rsidRDefault="00A04D6C" w:rsidP="00A04D6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Cardiac arrhythmias.</w:t>
            </w:r>
          </w:p>
          <w:p w14:paraId="641F2BF4" w14:textId="77777777" w:rsidR="00A04D6C" w:rsidRPr="00A17E47" w:rsidRDefault="00A04D6C" w:rsidP="00A04D6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Bradycardia.</w:t>
            </w:r>
          </w:p>
          <w:p w14:paraId="1AE61A91" w14:textId="77777777" w:rsidR="00A04D6C" w:rsidRPr="00A17E47" w:rsidRDefault="00A04D6C" w:rsidP="00A04D6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Polyuria.</w:t>
            </w:r>
          </w:p>
          <w:p w14:paraId="0895E7DF" w14:textId="77777777" w:rsidR="00A04D6C" w:rsidRPr="00A17E47" w:rsidRDefault="00A04D6C" w:rsidP="00A04D6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Hypoxemia.</w:t>
            </w:r>
          </w:p>
          <w:p w14:paraId="79ED1C84" w14:textId="6C19346D" w:rsidR="00A04D6C" w:rsidRPr="00A17E47" w:rsidRDefault="00A04D6C" w:rsidP="00A04D6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Transient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hyperglycaemia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031507" w14:textId="186BF13C" w:rsidR="00426F16" w:rsidRPr="00A17E47" w:rsidRDefault="00A04D6C" w:rsidP="00A04D6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Sweating.</w:t>
            </w:r>
          </w:p>
        </w:tc>
      </w:tr>
      <w:tr w:rsidR="00A17E47" w:rsidRPr="00A17E47" w14:paraId="2B6897EB" w14:textId="714A928B" w:rsidTr="00A17E47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2F2788AC" w14:textId="34B139E4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10% Ketamine </w:t>
            </w:r>
          </w:p>
        </w:tc>
        <w:tc>
          <w:tcPr>
            <w:tcW w:w="2055" w:type="dxa"/>
          </w:tcPr>
          <w:p w14:paraId="1AB30B79" w14:textId="5D8371A9" w:rsidR="00426F16" w:rsidRPr="00A17E47" w:rsidRDefault="009D3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Dissociative </w:t>
            </w:r>
            <w:r w:rsidR="00A04D6C"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3" w:type="dxa"/>
          </w:tcPr>
          <w:p w14:paraId="6664E3C7" w14:textId="77777777" w:rsidR="00A04D6C" w:rsidRPr="00A17E47" w:rsidRDefault="00A04D6C" w:rsidP="00A04D6C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Induction of general </w:t>
            </w: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anesthesia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, in combination with </w:t>
            </w: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detomidine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romifidine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or xylazine.</w:t>
            </w:r>
          </w:p>
          <w:p w14:paraId="61CBE464" w14:textId="0057A151" w:rsidR="00426F16" w:rsidRPr="00A17E47" w:rsidRDefault="00A04D6C" w:rsidP="00A04D6C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Maintenance of general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as part of a Total Intravenous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protocol.</w:t>
            </w:r>
          </w:p>
        </w:tc>
        <w:tc>
          <w:tcPr>
            <w:tcW w:w="2243" w:type="dxa"/>
          </w:tcPr>
          <w:p w14:paraId="6605BC73" w14:textId="10BAEA57" w:rsidR="00426F16" w:rsidRPr="00A17E47" w:rsidRDefault="009D32E3" w:rsidP="00A17E47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IV or IM (SC and even PO but NOT recommended).</w:t>
            </w:r>
          </w:p>
        </w:tc>
        <w:tc>
          <w:tcPr>
            <w:tcW w:w="2815" w:type="dxa"/>
          </w:tcPr>
          <w:p w14:paraId="399305F5" w14:textId="65B6B0C3" w:rsidR="009D32E3" w:rsidRPr="00A17E47" w:rsidRDefault="009D32E3" w:rsidP="00A04D6C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Detomidine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hydrochloride   20µg/kg followed 5 min later by 2.2 mg/kg ketamine, IV injection.</w:t>
            </w:r>
          </w:p>
          <w:p w14:paraId="58585A59" w14:textId="5E17AB1F" w:rsidR="009D32E3" w:rsidRPr="00A17E47" w:rsidRDefault="009D32E3" w:rsidP="00A04D6C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Romifidine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100 µg/kg followed 5-10 min later by 2.2 mg/kg ketamine, IV injection.</w:t>
            </w:r>
          </w:p>
          <w:p w14:paraId="051B65BE" w14:textId="718B76C2" w:rsidR="00426F16" w:rsidRPr="00A17E47" w:rsidRDefault="009D32E3" w:rsidP="00A04D6C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Xylazine 1.1 mg/kg, slow IV injection, followed 2 min later by 2.2 mg/kg ketamine, IV injection.</w:t>
            </w:r>
          </w:p>
        </w:tc>
        <w:tc>
          <w:tcPr>
            <w:tcW w:w="3038" w:type="dxa"/>
          </w:tcPr>
          <w:p w14:paraId="0DD5B999" w14:textId="77777777" w:rsidR="009D32E3" w:rsidRPr="00A17E47" w:rsidRDefault="009D32E3" w:rsidP="00A04D6C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Hypotension.</w:t>
            </w:r>
          </w:p>
          <w:p w14:paraId="5B3DE0C5" w14:textId="1AEA06C9" w:rsidR="009D32E3" w:rsidRPr="00A17E47" w:rsidRDefault="009D32E3" w:rsidP="00A04D6C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Increased cardiac output</w:t>
            </w:r>
          </w:p>
          <w:p w14:paraId="54E4D901" w14:textId="6FE4DCA0" w:rsidR="00426F16" w:rsidRPr="00A17E47" w:rsidRDefault="009D32E3" w:rsidP="00A04D6C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Tachycardia</w:t>
            </w:r>
          </w:p>
        </w:tc>
      </w:tr>
      <w:tr w:rsidR="00A17E47" w:rsidRPr="00A17E47" w14:paraId="38F89CEB" w14:textId="6A65D49A" w:rsidTr="00A17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6698CED6" w14:textId="751B36EB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2% Lidocaine </w:t>
            </w:r>
          </w:p>
        </w:tc>
        <w:tc>
          <w:tcPr>
            <w:tcW w:w="2055" w:type="dxa"/>
          </w:tcPr>
          <w:p w14:paraId="0F43D7FD" w14:textId="68A030EB" w:rsidR="00426F16" w:rsidRPr="00A17E47" w:rsidRDefault="00A04D6C" w:rsidP="00A04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Local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</w:p>
        </w:tc>
        <w:tc>
          <w:tcPr>
            <w:tcW w:w="2583" w:type="dxa"/>
          </w:tcPr>
          <w:p w14:paraId="660F7878" w14:textId="77777777" w:rsidR="00A04D6C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Epidural.</w:t>
            </w:r>
          </w:p>
          <w:p w14:paraId="7A8D7E23" w14:textId="77777777" w:rsidR="00A04D6C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Field block (with epinephrine).</w:t>
            </w:r>
          </w:p>
          <w:p w14:paraId="212D1029" w14:textId="4924B774" w:rsidR="00A04D6C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Perineural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(with epinephrine).</w:t>
            </w:r>
          </w:p>
          <w:p w14:paraId="38C1BC22" w14:textId="58D1A9B8" w:rsidR="00426F16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Arryhthmias</w:t>
            </w:r>
            <w:proofErr w:type="spellEnd"/>
          </w:p>
        </w:tc>
        <w:tc>
          <w:tcPr>
            <w:tcW w:w="2243" w:type="dxa"/>
          </w:tcPr>
          <w:p w14:paraId="3539098F" w14:textId="77777777" w:rsidR="00426F16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Field block</w:t>
            </w:r>
          </w:p>
          <w:p w14:paraId="7B5B392B" w14:textId="38348F04" w:rsidR="00A04D6C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Epidural </w:t>
            </w:r>
          </w:p>
        </w:tc>
        <w:tc>
          <w:tcPr>
            <w:tcW w:w="2815" w:type="dxa"/>
          </w:tcPr>
          <w:p w14:paraId="3CB37A8D" w14:textId="77777777" w:rsidR="00A04D6C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Field block injection, maximum 200 ml of lidocaine (2%:20 mg/ml).</w:t>
            </w:r>
          </w:p>
          <w:p w14:paraId="75AD1822" w14:textId="4C7152C1" w:rsidR="00426F16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Epidural, including caudal epidural injection, 6-10 ml of lidocaine (2%:20 mg/ml).</w:t>
            </w:r>
          </w:p>
        </w:tc>
        <w:tc>
          <w:tcPr>
            <w:tcW w:w="3038" w:type="dxa"/>
          </w:tcPr>
          <w:p w14:paraId="5F99FE98" w14:textId="3853BA67" w:rsidR="00426F16" w:rsidRPr="00A17E47" w:rsidRDefault="00A04D6C" w:rsidP="00A04D6C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Signs of toxicity are convulsions followed by CNS depression</w:t>
            </w:r>
          </w:p>
        </w:tc>
      </w:tr>
      <w:tr w:rsidR="00A17E47" w:rsidRPr="00A17E47" w14:paraId="262C9752" w14:textId="31C90794" w:rsidTr="00A17E47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34A8B7BE" w14:textId="3A8C7338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2% Mepivacaine Hydrochloride</w:t>
            </w:r>
          </w:p>
        </w:tc>
        <w:tc>
          <w:tcPr>
            <w:tcW w:w="2055" w:type="dxa"/>
          </w:tcPr>
          <w:p w14:paraId="479DBBBB" w14:textId="2BEAE12E" w:rsidR="00426F16" w:rsidRPr="00A17E47" w:rsidRDefault="00A04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Local </w:t>
            </w:r>
            <w:r w:rsidR="00A71234"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</w:p>
        </w:tc>
        <w:tc>
          <w:tcPr>
            <w:tcW w:w="2583" w:type="dxa"/>
          </w:tcPr>
          <w:p w14:paraId="65C95016" w14:textId="77777777" w:rsidR="00A71234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Field block</w:t>
            </w:r>
          </w:p>
          <w:p w14:paraId="13B8BABF" w14:textId="77777777" w:rsidR="00A71234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Perineural anaesthesia</w:t>
            </w:r>
          </w:p>
          <w:p w14:paraId="0937C842" w14:textId="50892692" w:rsidR="00A71234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Epidural </w:t>
            </w:r>
          </w:p>
        </w:tc>
        <w:tc>
          <w:tcPr>
            <w:tcW w:w="2243" w:type="dxa"/>
          </w:tcPr>
          <w:p w14:paraId="3731F160" w14:textId="035A602F" w:rsidR="00426F16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ntra-articular</w:t>
            </w:r>
          </w:p>
          <w:p w14:paraId="3C0A3EDA" w14:textId="58EC07B1" w:rsidR="00A71234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erineural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5" w:type="dxa"/>
          </w:tcPr>
          <w:p w14:paraId="701A17D8" w14:textId="280EEE81" w:rsidR="00426F16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2-5 ml of mepivacaine hydrochloride (2%: 20 mg/ml) by field block injection; 4-10 ml by intra-articular injection; and 2-10 ml by perineural injection (depending on size of nerve)</w:t>
            </w:r>
          </w:p>
        </w:tc>
        <w:tc>
          <w:tcPr>
            <w:tcW w:w="3038" w:type="dxa"/>
          </w:tcPr>
          <w:p w14:paraId="083483FF" w14:textId="29F540B1" w:rsidR="00426F16" w:rsidRPr="00A17E47" w:rsidRDefault="00A71234" w:rsidP="00A71234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ill cause systemic toxicity if excess amounts are used or if absorption is too rapid</w:t>
            </w:r>
          </w:p>
        </w:tc>
      </w:tr>
      <w:tr w:rsidR="00A17E47" w:rsidRPr="00A17E47" w14:paraId="4FB09C20" w14:textId="61B88F32" w:rsidTr="00A17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17B5ED53" w14:textId="7FB326B3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0.5% Bupivacaine </w:t>
            </w:r>
          </w:p>
        </w:tc>
        <w:tc>
          <w:tcPr>
            <w:tcW w:w="2055" w:type="dxa"/>
          </w:tcPr>
          <w:p w14:paraId="395E3609" w14:textId="3BE34281" w:rsidR="00426F16" w:rsidRPr="00A17E47" w:rsidRDefault="00A71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Local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anaesthetic</w:t>
            </w:r>
          </w:p>
        </w:tc>
        <w:tc>
          <w:tcPr>
            <w:tcW w:w="2583" w:type="dxa"/>
          </w:tcPr>
          <w:p w14:paraId="79853B56" w14:textId="7F0D7119" w:rsidR="00A71234" w:rsidRPr="00A17E47" w:rsidRDefault="00A71234" w:rsidP="00A71234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Epidural   </w:t>
            </w:r>
          </w:p>
          <w:p w14:paraId="074238E6" w14:textId="77777777" w:rsidR="00A71234" w:rsidRPr="00A17E47" w:rsidRDefault="00A71234" w:rsidP="00A71234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Field block.</w:t>
            </w:r>
          </w:p>
          <w:p w14:paraId="6E4BC98A" w14:textId="5B182F8E" w:rsidR="00426F16" w:rsidRPr="00A17E47" w:rsidRDefault="00A71234" w:rsidP="00A71234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Perineural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</w:p>
        </w:tc>
        <w:tc>
          <w:tcPr>
            <w:tcW w:w="2243" w:type="dxa"/>
          </w:tcPr>
          <w:p w14:paraId="12CCA937" w14:textId="17260B04" w:rsidR="00A71234" w:rsidRPr="00A17E47" w:rsidRDefault="00A71234" w:rsidP="00A71234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ntra-articular</w:t>
            </w:r>
          </w:p>
          <w:p w14:paraId="6C7F9DE7" w14:textId="51FA84FC" w:rsidR="00426F16" w:rsidRPr="00A17E47" w:rsidRDefault="00A71234" w:rsidP="00A71234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Perineural</w:t>
            </w:r>
          </w:p>
        </w:tc>
        <w:tc>
          <w:tcPr>
            <w:tcW w:w="2815" w:type="dxa"/>
          </w:tcPr>
          <w:p w14:paraId="76D9A0F9" w14:textId="5373A5D9" w:rsidR="00426F16" w:rsidRPr="00A17E47" w:rsidRDefault="00A71234" w:rsidP="00A71234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1-2 ml/site of bupivacaine hydrochloride (0.5%; 5 mg/ml)</w:t>
            </w:r>
          </w:p>
        </w:tc>
        <w:tc>
          <w:tcPr>
            <w:tcW w:w="3038" w:type="dxa"/>
          </w:tcPr>
          <w:p w14:paraId="1000857D" w14:textId="7B9F1CA6" w:rsidR="00A71234" w:rsidRPr="00A17E47" w:rsidRDefault="00A71234" w:rsidP="00A71234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Should not be used for IV regional 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</w:p>
          <w:p w14:paraId="005A6EE6" w14:textId="7F0DB325" w:rsidR="00426F16" w:rsidRPr="00A17E47" w:rsidRDefault="00A71234" w:rsidP="00A71234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Intravenous or intra-arterial injections should be avoided</w:t>
            </w:r>
          </w:p>
        </w:tc>
      </w:tr>
      <w:tr w:rsidR="00A17E47" w:rsidRPr="00A17E47" w14:paraId="45396A8D" w14:textId="285D1917" w:rsidTr="00A17E47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45625057" w14:textId="26A733B7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Detomidine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Hydrochloride </w:t>
            </w:r>
          </w:p>
        </w:tc>
        <w:tc>
          <w:tcPr>
            <w:tcW w:w="2055" w:type="dxa"/>
          </w:tcPr>
          <w:p w14:paraId="67B0F5D7" w14:textId="37C0F932" w:rsidR="00426F16" w:rsidRPr="00A17E47" w:rsidRDefault="00426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Alpha-2 adrenoceptor stimulant</w:t>
            </w:r>
          </w:p>
        </w:tc>
        <w:tc>
          <w:tcPr>
            <w:tcW w:w="2583" w:type="dxa"/>
          </w:tcPr>
          <w:p w14:paraId="2B10C28E" w14:textId="77777777" w:rsidR="009D32E3" w:rsidRPr="00A17E47" w:rsidRDefault="009D32E3" w:rsidP="009D3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Sedation</w:t>
            </w:r>
          </w:p>
          <w:p w14:paraId="3D0499B4" w14:textId="77777777" w:rsidR="009D32E3" w:rsidRPr="00A17E47" w:rsidRDefault="009D32E3" w:rsidP="009D3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Pre-</w:t>
            </w: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anesthetic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medication</w:t>
            </w:r>
          </w:p>
          <w:p w14:paraId="0AD429F3" w14:textId="7489593E" w:rsidR="00426F16" w:rsidRPr="00A17E47" w:rsidRDefault="009D32E3" w:rsidP="009D3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general </w:t>
            </w: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anesthetic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 in combination with ketamine.</w:t>
            </w:r>
          </w:p>
        </w:tc>
        <w:tc>
          <w:tcPr>
            <w:tcW w:w="2243" w:type="dxa"/>
          </w:tcPr>
          <w:p w14:paraId="085A17E3" w14:textId="298C2562" w:rsidR="00426F16" w:rsidRPr="00A17E47" w:rsidRDefault="00426F16" w:rsidP="00A17E47">
            <w:pPr>
              <w:pStyle w:val="ListParagraph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</w:t>
            </w:r>
          </w:p>
        </w:tc>
        <w:tc>
          <w:tcPr>
            <w:tcW w:w="2815" w:type="dxa"/>
          </w:tcPr>
          <w:p w14:paraId="03531352" w14:textId="7213599E" w:rsidR="00426F16" w:rsidRPr="00A17E47" w:rsidRDefault="00426F16" w:rsidP="00A7123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10-80 µg/kg by IM or slow IV injection.</w:t>
            </w:r>
          </w:p>
        </w:tc>
        <w:tc>
          <w:tcPr>
            <w:tcW w:w="3038" w:type="dxa"/>
          </w:tcPr>
          <w:p w14:paraId="42244389" w14:textId="77777777" w:rsidR="00A71234" w:rsidRPr="00A17E47" w:rsidRDefault="00A71234" w:rsidP="00A7123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Cardiac arrhythmias.</w:t>
            </w:r>
          </w:p>
          <w:p w14:paraId="043FB205" w14:textId="77777777" w:rsidR="00A71234" w:rsidRPr="00A17E47" w:rsidRDefault="00A71234" w:rsidP="00A7123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Sweating.</w:t>
            </w:r>
          </w:p>
          <w:p w14:paraId="1A9D15BA" w14:textId="77777777" w:rsidR="00A71234" w:rsidRPr="00A17E47" w:rsidRDefault="00A71234" w:rsidP="00A7123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Ataxia.</w:t>
            </w:r>
          </w:p>
          <w:p w14:paraId="175744FC" w14:textId="77777777" w:rsidR="00A71234" w:rsidRPr="00A17E47" w:rsidRDefault="00A71234" w:rsidP="00A7123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Hyperglycemia</w:t>
            </w:r>
            <w:proofErr w:type="spellEnd"/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984F4A" w14:textId="09FE24CF" w:rsidR="00426F16" w:rsidRPr="00A17E47" w:rsidRDefault="00A71234" w:rsidP="00A7123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Polyuria.</w:t>
            </w:r>
          </w:p>
        </w:tc>
      </w:tr>
      <w:tr w:rsidR="00A17E47" w:rsidRPr="00A17E47" w14:paraId="7C4FD54E" w14:textId="6C269A21" w:rsidTr="00A17E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14:paraId="0A6D495A" w14:textId="1F72E0CA" w:rsidR="00426F16" w:rsidRPr="00A17E47" w:rsidRDefault="00426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Phenylbutazone </w:t>
            </w:r>
          </w:p>
        </w:tc>
        <w:tc>
          <w:tcPr>
            <w:tcW w:w="2055" w:type="dxa"/>
          </w:tcPr>
          <w:p w14:paraId="1DA3CB34" w14:textId="3D215E38" w:rsidR="00426F16" w:rsidRPr="00A17E47" w:rsidRDefault="00426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NSAID</w:t>
            </w:r>
          </w:p>
        </w:tc>
        <w:tc>
          <w:tcPr>
            <w:tcW w:w="2583" w:type="dxa"/>
          </w:tcPr>
          <w:p w14:paraId="3D128B8D" w14:textId="77777777" w:rsidR="00A17E47" w:rsidRPr="00A17E47" w:rsidRDefault="00A17E47" w:rsidP="00A17E4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Inflammation</w:t>
            </w:r>
          </w:p>
          <w:p w14:paraId="3A60D098" w14:textId="3DA85E95" w:rsidR="00A17E47" w:rsidRPr="00A17E47" w:rsidRDefault="00A17E47" w:rsidP="00A17E4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ain</w:t>
            </w:r>
          </w:p>
          <w:p w14:paraId="07F74601" w14:textId="5F04AA3E" w:rsidR="00426F16" w:rsidRPr="00A17E47" w:rsidRDefault="00A17E47" w:rsidP="00A17E4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yrexia</w:t>
            </w:r>
          </w:p>
          <w:p w14:paraId="2FB744A3" w14:textId="7F415217" w:rsidR="00A17E47" w:rsidRPr="00A17E47" w:rsidRDefault="00A17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8DC08D2" w14:textId="77777777" w:rsidR="00A17E47" w:rsidRPr="00A17E47" w:rsidRDefault="00426F16" w:rsidP="00A17E4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Oral</w:t>
            </w:r>
          </w:p>
          <w:p w14:paraId="24D0E447" w14:textId="38629432" w:rsidR="00426F16" w:rsidRPr="00A17E47" w:rsidRDefault="00426F16" w:rsidP="00A17E4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</w:tc>
        <w:tc>
          <w:tcPr>
            <w:tcW w:w="2815" w:type="dxa"/>
          </w:tcPr>
          <w:p w14:paraId="6CA2C3C8" w14:textId="77777777" w:rsidR="00426F16" w:rsidRPr="00A17E47" w:rsidRDefault="00426F16" w:rsidP="00A71234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4.4 mg/kg PO BID on day one and then 2.2 mg/kg SID for 2-4 days, followed by 2.2 mg/kg EOD.</w:t>
            </w:r>
          </w:p>
          <w:p w14:paraId="7CD24112" w14:textId="3B3DD302" w:rsidR="00426F16" w:rsidRPr="00A17E47" w:rsidRDefault="00426F16" w:rsidP="00A71234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4.4 mg/kg by slow IV injection as a single dose.</w:t>
            </w:r>
          </w:p>
        </w:tc>
        <w:tc>
          <w:tcPr>
            <w:tcW w:w="3038" w:type="dxa"/>
          </w:tcPr>
          <w:p w14:paraId="1D965281" w14:textId="77777777" w:rsidR="00A17E47" w:rsidRPr="00A17E47" w:rsidRDefault="00A17E47" w:rsidP="00A17E47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Blood dyscrasias.</w:t>
            </w:r>
          </w:p>
          <w:p w14:paraId="2AE7D93C" w14:textId="77777777" w:rsidR="00A17E47" w:rsidRPr="00A17E47" w:rsidRDefault="00A17E47" w:rsidP="00A17E47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Delayed blood clotting.</w:t>
            </w:r>
          </w:p>
          <w:p w14:paraId="1B859962" w14:textId="77777777" w:rsidR="00A17E47" w:rsidRPr="00A17E47" w:rsidRDefault="00A17E47" w:rsidP="00A17E47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Hepatotoxicity.</w:t>
            </w:r>
          </w:p>
          <w:p w14:paraId="1FF3D26F" w14:textId="6F59FC1F" w:rsidR="00426F16" w:rsidRPr="00A17E47" w:rsidRDefault="00A17E47" w:rsidP="00A17E47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7">
              <w:rPr>
                <w:rFonts w:ascii="Times New Roman" w:hAnsi="Times New Roman" w:cs="Times New Roman"/>
                <w:sz w:val="24"/>
                <w:szCs w:val="24"/>
              </w:rPr>
              <w:t>Renal papillary necrosis</w:t>
            </w:r>
          </w:p>
        </w:tc>
      </w:tr>
    </w:tbl>
    <w:p w14:paraId="1C7B902A" w14:textId="77777777" w:rsidR="00F731BA" w:rsidRPr="00A17E47" w:rsidRDefault="00F731BA">
      <w:pPr>
        <w:rPr>
          <w:rFonts w:ascii="Times New Roman" w:hAnsi="Times New Roman" w:cs="Times New Roman"/>
          <w:sz w:val="24"/>
          <w:szCs w:val="24"/>
        </w:rPr>
      </w:pPr>
    </w:p>
    <w:sectPr w:rsidR="00F731BA" w:rsidRPr="00A17E47" w:rsidSect="00A17E47">
      <w:headerReference w:type="default" r:id="rId7"/>
      <w:pgSz w:w="16838" w:h="11906" w:orient="landscape"/>
      <w:pgMar w:top="1440" w:right="1440" w:bottom="1440" w:left="1440" w:header="708" w:footer="708" w:gutter="0"/>
      <w:pgBorders w:offsetFrom="page">
        <w:top w:val="thinThickThinSmallGap" w:sz="24" w:space="24" w:color="FFC000" w:themeColor="accent4"/>
        <w:left w:val="thinThickThinSmallGap" w:sz="24" w:space="24" w:color="FFC000" w:themeColor="accent4"/>
        <w:bottom w:val="thinThickThinSmallGap" w:sz="24" w:space="24" w:color="FFC000" w:themeColor="accent4"/>
        <w:right w:val="thinThickThinSmallGap" w:sz="24" w:space="24" w:color="FFC000" w:themeColor="accent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279B" w14:textId="77777777" w:rsidR="00A17E47" w:rsidRDefault="00A17E47" w:rsidP="00A17E47">
      <w:pPr>
        <w:spacing w:after="0" w:line="240" w:lineRule="auto"/>
      </w:pPr>
      <w:r>
        <w:separator/>
      </w:r>
    </w:p>
  </w:endnote>
  <w:endnote w:type="continuationSeparator" w:id="0">
    <w:p w14:paraId="65F7EA53" w14:textId="77777777" w:rsidR="00A17E47" w:rsidRDefault="00A17E47" w:rsidP="00A1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6CF91" w14:textId="77777777" w:rsidR="00A17E47" w:rsidRDefault="00A17E47" w:rsidP="00A17E47">
      <w:pPr>
        <w:spacing w:after="0" w:line="240" w:lineRule="auto"/>
      </w:pPr>
      <w:r>
        <w:separator/>
      </w:r>
    </w:p>
  </w:footnote>
  <w:footnote w:type="continuationSeparator" w:id="0">
    <w:p w14:paraId="64AEB9C7" w14:textId="77777777" w:rsidR="00A17E47" w:rsidRDefault="00A17E47" w:rsidP="00A17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6A1C" w14:textId="4053DCF8" w:rsidR="00A17E47" w:rsidRPr="00A17E47" w:rsidRDefault="00A17E47" w:rsidP="00A17E47">
    <w:pPr>
      <w:pStyle w:val="Header"/>
      <w:jc w:val="center"/>
      <w:rPr>
        <w:rFonts w:ascii="Times New Roman" w:hAnsi="Times New Roman" w:cs="Times New Roman"/>
        <w:b/>
        <w:bCs/>
        <w:i/>
        <w:iCs/>
        <w:color w:val="F4B083" w:themeColor="accent2" w:themeTint="99"/>
        <w:sz w:val="48"/>
        <w:szCs w:val="48"/>
      </w:rPr>
    </w:pPr>
    <w:r w:rsidRPr="00A17E47">
      <w:rPr>
        <w:rFonts w:ascii="Times New Roman" w:hAnsi="Times New Roman" w:cs="Times New Roman"/>
        <w:b/>
        <w:bCs/>
        <w:i/>
        <w:iCs/>
        <w:color w:val="F4B083" w:themeColor="accent2" w:themeTint="99"/>
        <w:sz w:val="48"/>
        <w:szCs w:val="48"/>
      </w:rPr>
      <w:t>MEDICAL DRUG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BA5"/>
    <w:multiLevelType w:val="hybridMultilevel"/>
    <w:tmpl w:val="68C247C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A1AB5"/>
    <w:multiLevelType w:val="hybridMultilevel"/>
    <w:tmpl w:val="6D0241D2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16"/>
    <w:multiLevelType w:val="hybridMultilevel"/>
    <w:tmpl w:val="6414DB8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0EE1"/>
    <w:multiLevelType w:val="hybridMultilevel"/>
    <w:tmpl w:val="49FCA924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D204B"/>
    <w:multiLevelType w:val="hybridMultilevel"/>
    <w:tmpl w:val="793EA992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811CA"/>
    <w:multiLevelType w:val="hybridMultilevel"/>
    <w:tmpl w:val="6E6A5F98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8009B"/>
    <w:multiLevelType w:val="hybridMultilevel"/>
    <w:tmpl w:val="BCE40AD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475CD"/>
    <w:multiLevelType w:val="hybridMultilevel"/>
    <w:tmpl w:val="E9C838A6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F7F09"/>
    <w:multiLevelType w:val="hybridMultilevel"/>
    <w:tmpl w:val="B95A415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81D43"/>
    <w:multiLevelType w:val="hybridMultilevel"/>
    <w:tmpl w:val="5E80ED58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37DBB"/>
    <w:multiLevelType w:val="hybridMultilevel"/>
    <w:tmpl w:val="9B9E66F8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4763D"/>
    <w:multiLevelType w:val="hybridMultilevel"/>
    <w:tmpl w:val="12EC6C7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1C7"/>
    <w:multiLevelType w:val="multilevel"/>
    <w:tmpl w:val="315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735D11"/>
    <w:multiLevelType w:val="hybridMultilevel"/>
    <w:tmpl w:val="E9C6EE0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AB63F7"/>
    <w:multiLevelType w:val="hybridMultilevel"/>
    <w:tmpl w:val="A2F4D6D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553603">
    <w:abstractNumId w:val="12"/>
  </w:num>
  <w:num w:numId="2" w16cid:durableId="1031103722">
    <w:abstractNumId w:val="6"/>
  </w:num>
  <w:num w:numId="3" w16cid:durableId="418412035">
    <w:abstractNumId w:val="3"/>
  </w:num>
  <w:num w:numId="4" w16cid:durableId="687412676">
    <w:abstractNumId w:val="7"/>
  </w:num>
  <w:num w:numId="5" w16cid:durableId="2014793549">
    <w:abstractNumId w:val="2"/>
  </w:num>
  <w:num w:numId="6" w16cid:durableId="1981037806">
    <w:abstractNumId w:val="5"/>
  </w:num>
  <w:num w:numId="7" w16cid:durableId="500852014">
    <w:abstractNumId w:val="13"/>
  </w:num>
  <w:num w:numId="8" w16cid:durableId="1928076669">
    <w:abstractNumId w:val="0"/>
  </w:num>
  <w:num w:numId="9" w16cid:durableId="578906394">
    <w:abstractNumId w:val="8"/>
  </w:num>
  <w:num w:numId="10" w16cid:durableId="31342204">
    <w:abstractNumId w:val="11"/>
  </w:num>
  <w:num w:numId="11" w16cid:durableId="544827124">
    <w:abstractNumId w:val="14"/>
  </w:num>
  <w:num w:numId="12" w16cid:durableId="1350378153">
    <w:abstractNumId w:val="9"/>
  </w:num>
  <w:num w:numId="13" w16cid:durableId="874923413">
    <w:abstractNumId w:val="4"/>
  </w:num>
  <w:num w:numId="14" w16cid:durableId="201405882">
    <w:abstractNumId w:val="10"/>
  </w:num>
  <w:num w:numId="15" w16cid:durableId="1754547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BA"/>
    <w:rsid w:val="002854A6"/>
    <w:rsid w:val="00426F16"/>
    <w:rsid w:val="009D32E3"/>
    <w:rsid w:val="00A04D6C"/>
    <w:rsid w:val="00A17E47"/>
    <w:rsid w:val="00A71234"/>
    <w:rsid w:val="00F7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463F1"/>
  <w15:chartTrackingRefBased/>
  <w15:docId w15:val="{FDB0B8EA-B1A6-4F61-8AE2-50DCA760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4D6C"/>
    <w:pPr>
      <w:ind w:left="720"/>
      <w:contextualSpacing/>
    </w:pPr>
  </w:style>
  <w:style w:type="table" w:styleId="PlainTable5">
    <w:name w:val="Plain Table 5"/>
    <w:basedOn w:val="TableNormal"/>
    <w:uiPriority w:val="45"/>
    <w:rsid w:val="00A17E4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A17E4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A17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E47"/>
  </w:style>
  <w:style w:type="paragraph" w:styleId="Footer">
    <w:name w:val="footer"/>
    <w:basedOn w:val="Normal"/>
    <w:link w:val="FooterChar"/>
    <w:uiPriority w:val="99"/>
    <w:unhideWhenUsed/>
    <w:rsid w:val="00A17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Kedisha Hope</dc:creator>
  <cp:keywords/>
  <dc:description/>
  <cp:lastModifiedBy>Kedisha Hope</cp:lastModifiedBy>
  <cp:revision>1</cp:revision>
  <dcterms:created xsi:type="dcterms:W3CDTF">2022-10-23T19:38:00Z</dcterms:created>
  <dcterms:modified xsi:type="dcterms:W3CDTF">2022-10-23T20:48:00Z</dcterms:modified>
</cp:coreProperties>
</file>