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1858"/>
        <w:gridCol w:w="7148"/>
      </w:tblGrid>
      <w:tr w:rsidR="003A573E" w:rsidRPr="003A573E" w14:paraId="52CCA2A1" w14:textId="77777777" w:rsidTr="003A573E">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CE2FC" w14:textId="77777777" w:rsidR="003A573E" w:rsidRPr="003A573E" w:rsidRDefault="003A573E" w:rsidP="003A573E">
            <w:pPr>
              <w:spacing w:after="0" w:line="240" w:lineRule="auto"/>
              <w:jc w:val="center"/>
              <w:rPr>
                <w:rFonts w:ascii="Times New Roman" w:eastAsia="Times New Roman" w:hAnsi="Times New Roman" w:cs="Times New Roman"/>
                <w:sz w:val="24"/>
                <w:szCs w:val="24"/>
                <w:lang w:eastAsia="en-TT"/>
              </w:rPr>
            </w:pPr>
            <w:r w:rsidRPr="003A573E">
              <w:rPr>
                <w:rFonts w:ascii="Times New Roman" w:eastAsia="Times New Roman" w:hAnsi="Times New Roman" w:cs="Times New Roman"/>
                <w:color w:val="000000"/>
                <w:sz w:val="24"/>
                <w:szCs w:val="24"/>
                <w:lang w:eastAsia="en-TT"/>
              </w:rPr>
              <w:t>Splint Bone Removal</w:t>
            </w:r>
          </w:p>
        </w:tc>
      </w:tr>
      <w:tr w:rsidR="003A573E" w:rsidRPr="003A573E" w14:paraId="1C78605F" w14:textId="77777777" w:rsidTr="003A57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7E677" w14:textId="77777777" w:rsidR="003A573E" w:rsidRPr="003A573E" w:rsidRDefault="003A573E" w:rsidP="003A573E">
            <w:pPr>
              <w:spacing w:after="0" w:line="240" w:lineRule="auto"/>
              <w:rPr>
                <w:rFonts w:ascii="Times New Roman" w:eastAsia="Times New Roman" w:hAnsi="Times New Roman" w:cs="Times New Roman"/>
                <w:sz w:val="24"/>
                <w:szCs w:val="24"/>
                <w:lang w:eastAsia="en-TT"/>
              </w:rPr>
            </w:pPr>
            <w:r w:rsidRPr="003A573E">
              <w:rPr>
                <w:rFonts w:ascii="Times New Roman" w:eastAsia="Times New Roman" w:hAnsi="Times New Roman" w:cs="Times New Roman"/>
                <w:color w:val="000000"/>
                <w:sz w:val="24"/>
                <w:szCs w:val="24"/>
                <w:lang w:eastAsia="en-TT"/>
              </w:rPr>
              <w:t>Relevant Anatomy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10CE3" w14:textId="77777777" w:rsidR="003A573E" w:rsidRPr="003A573E" w:rsidRDefault="003A573E" w:rsidP="003A573E">
            <w:pPr>
              <w:spacing w:after="0" w:line="240" w:lineRule="auto"/>
              <w:rPr>
                <w:rFonts w:ascii="Times New Roman" w:eastAsia="Times New Roman" w:hAnsi="Times New Roman" w:cs="Times New Roman"/>
                <w:sz w:val="24"/>
                <w:szCs w:val="24"/>
                <w:lang w:eastAsia="en-TT"/>
              </w:rPr>
            </w:pPr>
            <w:r w:rsidRPr="003A573E">
              <w:rPr>
                <w:rFonts w:ascii="Times New Roman" w:eastAsia="Times New Roman" w:hAnsi="Times New Roman" w:cs="Times New Roman"/>
                <w:color w:val="000000"/>
                <w:sz w:val="24"/>
                <w:szCs w:val="24"/>
                <w:lang w:eastAsia="en-TT"/>
              </w:rPr>
              <w:t>The second and fourth metacarpal bones, or splint bones are attached to the abaxial surface of the medial and lateral proximal sesamoids by fibrous bands.</w:t>
            </w:r>
          </w:p>
        </w:tc>
      </w:tr>
      <w:tr w:rsidR="003A573E" w:rsidRPr="003A573E" w14:paraId="0212E006" w14:textId="77777777" w:rsidTr="003A57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5D262" w14:textId="77777777" w:rsidR="003A573E" w:rsidRPr="003A573E" w:rsidRDefault="003A573E" w:rsidP="003A573E">
            <w:pPr>
              <w:spacing w:after="0" w:line="240" w:lineRule="auto"/>
              <w:rPr>
                <w:rFonts w:ascii="Times New Roman" w:eastAsia="Times New Roman" w:hAnsi="Times New Roman" w:cs="Times New Roman"/>
                <w:sz w:val="24"/>
                <w:szCs w:val="24"/>
                <w:lang w:eastAsia="en-TT"/>
              </w:rPr>
            </w:pPr>
            <w:r w:rsidRPr="003A573E">
              <w:rPr>
                <w:rFonts w:ascii="Times New Roman" w:eastAsia="Times New Roman" w:hAnsi="Times New Roman" w:cs="Times New Roman"/>
                <w:color w:val="000000"/>
                <w:sz w:val="24"/>
                <w:szCs w:val="24"/>
                <w:lang w:eastAsia="en-TT"/>
              </w:rPr>
              <w:t>Site Preparation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4EA71" w14:textId="77777777" w:rsidR="003A573E" w:rsidRPr="003A573E" w:rsidRDefault="003A573E" w:rsidP="003A573E">
            <w:pPr>
              <w:spacing w:after="0" w:line="240" w:lineRule="auto"/>
              <w:rPr>
                <w:rFonts w:ascii="Times New Roman" w:eastAsia="Times New Roman" w:hAnsi="Times New Roman" w:cs="Times New Roman"/>
                <w:sz w:val="24"/>
                <w:szCs w:val="24"/>
                <w:lang w:eastAsia="en-TT"/>
              </w:rPr>
            </w:pPr>
            <w:r w:rsidRPr="003A573E">
              <w:rPr>
                <w:rFonts w:ascii="Times New Roman" w:eastAsia="Times New Roman" w:hAnsi="Times New Roman" w:cs="Times New Roman"/>
                <w:color w:val="000000"/>
                <w:sz w:val="24"/>
                <w:szCs w:val="24"/>
                <w:lang w:eastAsia="en-TT"/>
              </w:rPr>
              <w:t>The surgical site is shaved and aseptically prepped for surgery. </w:t>
            </w:r>
          </w:p>
        </w:tc>
      </w:tr>
      <w:tr w:rsidR="003A573E" w:rsidRPr="003A573E" w14:paraId="6A3DF0B4" w14:textId="77777777" w:rsidTr="003A57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8FA08" w14:textId="77777777" w:rsidR="003A573E" w:rsidRPr="003A573E" w:rsidRDefault="003A573E" w:rsidP="003A573E">
            <w:pPr>
              <w:spacing w:after="0" w:line="240" w:lineRule="auto"/>
              <w:rPr>
                <w:rFonts w:ascii="Times New Roman" w:eastAsia="Times New Roman" w:hAnsi="Times New Roman" w:cs="Times New Roman"/>
                <w:sz w:val="24"/>
                <w:szCs w:val="24"/>
                <w:lang w:eastAsia="en-TT"/>
              </w:rPr>
            </w:pPr>
            <w:r w:rsidRPr="003A573E">
              <w:rPr>
                <w:rFonts w:ascii="Times New Roman" w:eastAsia="Times New Roman" w:hAnsi="Times New Roman" w:cs="Times New Roman"/>
                <w:color w:val="000000"/>
                <w:sz w:val="24"/>
                <w:szCs w:val="24"/>
                <w:lang w:eastAsia="en-TT"/>
              </w:rPr>
              <w:t>Instruments needed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CD310" w14:textId="77777777" w:rsidR="003A573E" w:rsidRPr="003A573E" w:rsidRDefault="003A573E" w:rsidP="003A573E">
            <w:pPr>
              <w:spacing w:after="0" w:line="240" w:lineRule="auto"/>
              <w:rPr>
                <w:rFonts w:ascii="Times New Roman" w:eastAsia="Times New Roman" w:hAnsi="Times New Roman" w:cs="Times New Roman"/>
                <w:sz w:val="24"/>
                <w:szCs w:val="24"/>
                <w:lang w:eastAsia="en-TT"/>
              </w:rPr>
            </w:pPr>
            <w:r w:rsidRPr="003A573E">
              <w:rPr>
                <w:rFonts w:ascii="Times New Roman" w:eastAsia="Times New Roman" w:hAnsi="Times New Roman" w:cs="Times New Roman"/>
                <w:color w:val="000000"/>
                <w:sz w:val="24"/>
                <w:szCs w:val="24"/>
                <w:lang w:eastAsia="en-TT"/>
              </w:rPr>
              <w:t>General surgery pack</w:t>
            </w:r>
          </w:p>
          <w:p w14:paraId="1B09C23D" w14:textId="77777777" w:rsidR="003A573E" w:rsidRPr="003A573E" w:rsidRDefault="003A573E" w:rsidP="003A573E">
            <w:pPr>
              <w:spacing w:after="0" w:line="240" w:lineRule="auto"/>
              <w:rPr>
                <w:rFonts w:ascii="Times New Roman" w:eastAsia="Times New Roman" w:hAnsi="Times New Roman" w:cs="Times New Roman"/>
                <w:sz w:val="24"/>
                <w:szCs w:val="24"/>
                <w:lang w:eastAsia="en-TT"/>
              </w:rPr>
            </w:pPr>
            <w:r w:rsidRPr="003A573E">
              <w:rPr>
                <w:rFonts w:ascii="Times New Roman" w:eastAsia="Times New Roman" w:hAnsi="Times New Roman" w:cs="Times New Roman"/>
                <w:color w:val="000000"/>
                <w:sz w:val="24"/>
                <w:szCs w:val="24"/>
                <w:lang w:eastAsia="en-TT"/>
              </w:rPr>
              <w:t>Curved osteotome</w:t>
            </w:r>
          </w:p>
          <w:p w14:paraId="606D6531" w14:textId="77777777" w:rsidR="003A573E" w:rsidRPr="003A573E" w:rsidRDefault="003A573E" w:rsidP="003A573E">
            <w:pPr>
              <w:spacing w:after="0" w:line="240" w:lineRule="auto"/>
              <w:rPr>
                <w:rFonts w:ascii="Times New Roman" w:eastAsia="Times New Roman" w:hAnsi="Times New Roman" w:cs="Times New Roman"/>
                <w:sz w:val="24"/>
                <w:szCs w:val="24"/>
                <w:lang w:eastAsia="en-TT"/>
              </w:rPr>
            </w:pPr>
            <w:r w:rsidRPr="003A573E">
              <w:rPr>
                <w:rFonts w:ascii="Times New Roman" w:eastAsia="Times New Roman" w:hAnsi="Times New Roman" w:cs="Times New Roman"/>
                <w:color w:val="000000"/>
                <w:sz w:val="24"/>
                <w:szCs w:val="24"/>
                <w:lang w:eastAsia="en-TT"/>
              </w:rPr>
              <w:t>Chisel</w:t>
            </w:r>
          </w:p>
          <w:p w14:paraId="5FCFEA22" w14:textId="77777777" w:rsidR="003A573E" w:rsidRPr="003A573E" w:rsidRDefault="003A573E" w:rsidP="003A573E">
            <w:pPr>
              <w:spacing w:after="0" w:line="240" w:lineRule="auto"/>
              <w:rPr>
                <w:rFonts w:ascii="Times New Roman" w:eastAsia="Times New Roman" w:hAnsi="Times New Roman" w:cs="Times New Roman"/>
                <w:sz w:val="24"/>
                <w:szCs w:val="24"/>
                <w:lang w:eastAsia="en-TT"/>
              </w:rPr>
            </w:pPr>
            <w:r w:rsidRPr="003A573E">
              <w:rPr>
                <w:rFonts w:ascii="Times New Roman" w:eastAsia="Times New Roman" w:hAnsi="Times New Roman" w:cs="Times New Roman"/>
                <w:color w:val="000000"/>
                <w:sz w:val="24"/>
                <w:szCs w:val="24"/>
                <w:lang w:eastAsia="en-TT"/>
              </w:rPr>
              <w:t>Mallet</w:t>
            </w:r>
          </w:p>
          <w:p w14:paraId="4655F251" w14:textId="77777777" w:rsidR="003A573E" w:rsidRPr="003A573E" w:rsidRDefault="003A573E" w:rsidP="003A573E">
            <w:pPr>
              <w:spacing w:after="0" w:line="240" w:lineRule="auto"/>
              <w:rPr>
                <w:rFonts w:ascii="Times New Roman" w:eastAsia="Times New Roman" w:hAnsi="Times New Roman" w:cs="Times New Roman"/>
                <w:sz w:val="24"/>
                <w:szCs w:val="24"/>
                <w:lang w:eastAsia="en-TT"/>
              </w:rPr>
            </w:pPr>
            <w:r w:rsidRPr="003A573E">
              <w:rPr>
                <w:rFonts w:ascii="Times New Roman" w:eastAsia="Times New Roman" w:hAnsi="Times New Roman" w:cs="Times New Roman"/>
                <w:color w:val="000000"/>
                <w:sz w:val="24"/>
                <w:szCs w:val="24"/>
                <w:lang w:eastAsia="en-TT"/>
              </w:rPr>
              <w:t>Periosteal elevator</w:t>
            </w:r>
          </w:p>
        </w:tc>
      </w:tr>
      <w:tr w:rsidR="003A573E" w:rsidRPr="003A573E" w14:paraId="32AB597A" w14:textId="77777777" w:rsidTr="003A57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81D14" w14:textId="77777777" w:rsidR="003A573E" w:rsidRPr="003A573E" w:rsidRDefault="003A573E" w:rsidP="003A573E">
            <w:pPr>
              <w:spacing w:after="0" w:line="240" w:lineRule="auto"/>
              <w:rPr>
                <w:rFonts w:ascii="Times New Roman" w:eastAsia="Times New Roman" w:hAnsi="Times New Roman" w:cs="Times New Roman"/>
                <w:sz w:val="24"/>
                <w:szCs w:val="24"/>
                <w:lang w:eastAsia="en-TT"/>
              </w:rPr>
            </w:pPr>
            <w:r w:rsidRPr="003A573E">
              <w:rPr>
                <w:rFonts w:ascii="Times New Roman" w:eastAsia="Times New Roman" w:hAnsi="Times New Roman" w:cs="Times New Roman"/>
                <w:color w:val="000000"/>
                <w:sz w:val="24"/>
                <w:szCs w:val="24"/>
                <w:lang w:eastAsia="en-TT"/>
              </w:rPr>
              <w:t>Indications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0737E" w14:textId="1DF8410C" w:rsidR="003A573E" w:rsidRPr="003A573E" w:rsidRDefault="003A573E" w:rsidP="003A573E">
            <w:pPr>
              <w:spacing w:after="0" w:line="240" w:lineRule="auto"/>
              <w:rPr>
                <w:rFonts w:ascii="Times New Roman" w:eastAsia="Times New Roman" w:hAnsi="Times New Roman" w:cs="Times New Roman"/>
                <w:sz w:val="24"/>
                <w:szCs w:val="24"/>
                <w:lang w:eastAsia="en-TT"/>
              </w:rPr>
            </w:pPr>
            <w:r w:rsidRPr="003A573E">
              <w:rPr>
                <w:rFonts w:ascii="Times New Roman" w:eastAsia="Times New Roman" w:hAnsi="Times New Roman" w:cs="Times New Roman"/>
                <w:color w:val="000000"/>
                <w:sz w:val="24"/>
                <w:szCs w:val="24"/>
                <w:lang w:eastAsia="en-TT"/>
              </w:rPr>
              <w:t>Fractures of the s</w:t>
            </w:r>
            <w:r w:rsidR="004177D4">
              <w:rPr>
                <w:rFonts w:ascii="Times New Roman" w:eastAsia="Times New Roman" w:hAnsi="Times New Roman" w:cs="Times New Roman"/>
                <w:color w:val="000000"/>
                <w:sz w:val="24"/>
                <w:szCs w:val="24"/>
                <w:lang w:eastAsia="en-TT"/>
              </w:rPr>
              <w:t>p</w:t>
            </w:r>
            <w:r w:rsidRPr="003A573E">
              <w:rPr>
                <w:rFonts w:ascii="Times New Roman" w:eastAsia="Times New Roman" w:hAnsi="Times New Roman" w:cs="Times New Roman"/>
                <w:color w:val="000000"/>
                <w:sz w:val="24"/>
                <w:szCs w:val="24"/>
                <w:lang w:eastAsia="en-TT"/>
              </w:rPr>
              <w:t>lint bones</w:t>
            </w:r>
          </w:p>
        </w:tc>
      </w:tr>
      <w:tr w:rsidR="003A573E" w:rsidRPr="003A573E" w14:paraId="7CC344C7" w14:textId="77777777" w:rsidTr="003A57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479B4" w14:textId="77777777" w:rsidR="003A573E" w:rsidRPr="003A573E" w:rsidRDefault="003A573E" w:rsidP="003A573E">
            <w:pPr>
              <w:spacing w:after="0" w:line="240" w:lineRule="auto"/>
              <w:rPr>
                <w:rFonts w:ascii="Times New Roman" w:eastAsia="Times New Roman" w:hAnsi="Times New Roman" w:cs="Times New Roman"/>
                <w:sz w:val="24"/>
                <w:szCs w:val="24"/>
                <w:lang w:eastAsia="en-TT"/>
              </w:rPr>
            </w:pPr>
            <w:r w:rsidRPr="003A573E">
              <w:rPr>
                <w:rFonts w:ascii="Times New Roman" w:eastAsia="Times New Roman" w:hAnsi="Times New Roman" w:cs="Times New Roman"/>
                <w:color w:val="000000"/>
                <w:sz w:val="24"/>
                <w:szCs w:val="24"/>
                <w:lang w:eastAsia="en-TT"/>
              </w:rPr>
              <w:t>Anaesthesia and Preparation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DED2B" w14:textId="21891EDE" w:rsidR="003A573E" w:rsidRPr="003A573E" w:rsidRDefault="003A573E" w:rsidP="003A573E">
            <w:pPr>
              <w:spacing w:after="0" w:line="240" w:lineRule="auto"/>
              <w:rPr>
                <w:rFonts w:ascii="Times New Roman" w:eastAsia="Times New Roman" w:hAnsi="Times New Roman" w:cs="Times New Roman"/>
                <w:sz w:val="24"/>
                <w:szCs w:val="24"/>
                <w:lang w:eastAsia="en-TT"/>
              </w:rPr>
            </w:pPr>
            <w:r w:rsidRPr="003A573E">
              <w:rPr>
                <w:rFonts w:ascii="Times New Roman" w:eastAsia="Times New Roman" w:hAnsi="Times New Roman" w:cs="Times New Roman"/>
                <w:color w:val="000000"/>
                <w:sz w:val="24"/>
                <w:szCs w:val="24"/>
                <w:lang w:eastAsia="en-TT"/>
              </w:rPr>
              <w:t>General an</w:t>
            </w:r>
            <w:r>
              <w:rPr>
                <w:rFonts w:ascii="Times New Roman" w:eastAsia="Times New Roman" w:hAnsi="Times New Roman" w:cs="Times New Roman"/>
                <w:color w:val="000000"/>
                <w:sz w:val="24"/>
                <w:szCs w:val="24"/>
                <w:lang w:eastAsia="en-TT"/>
              </w:rPr>
              <w:t>a</w:t>
            </w:r>
            <w:r w:rsidRPr="003A573E">
              <w:rPr>
                <w:rFonts w:ascii="Times New Roman" w:eastAsia="Times New Roman" w:hAnsi="Times New Roman" w:cs="Times New Roman"/>
                <w:color w:val="000000"/>
                <w:sz w:val="24"/>
                <w:szCs w:val="24"/>
                <w:lang w:eastAsia="en-TT"/>
              </w:rPr>
              <w:t>esthesia is recommended for this operation.</w:t>
            </w:r>
          </w:p>
          <w:p w14:paraId="42507159" w14:textId="77777777" w:rsidR="003A573E" w:rsidRPr="003A573E" w:rsidRDefault="003A573E" w:rsidP="003A573E">
            <w:pPr>
              <w:spacing w:after="0" w:line="240" w:lineRule="auto"/>
              <w:rPr>
                <w:rFonts w:ascii="Times New Roman" w:eastAsia="Times New Roman" w:hAnsi="Times New Roman" w:cs="Times New Roman"/>
                <w:sz w:val="24"/>
                <w:szCs w:val="24"/>
                <w:lang w:eastAsia="en-TT"/>
              </w:rPr>
            </w:pPr>
            <w:r w:rsidRPr="003A573E">
              <w:rPr>
                <w:rFonts w:ascii="Times New Roman" w:eastAsia="Times New Roman" w:hAnsi="Times New Roman" w:cs="Times New Roman"/>
                <w:color w:val="000000"/>
                <w:sz w:val="24"/>
                <w:szCs w:val="24"/>
                <w:lang w:eastAsia="en-TT"/>
              </w:rPr>
              <w:t>The horse is placed in either lateral recumbency with the</w:t>
            </w:r>
          </w:p>
          <w:p w14:paraId="23193E4C" w14:textId="77777777" w:rsidR="003A573E" w:rsidRPr="003A573E" w:rsidRDefault="003A573E" w:rsidP="003A573E">
            <w:pPr>
              <w:spacing w:after="0" w:line="240" w:lineRule="auto"/>
              <w:rPr>
                <w:rFonts w:ascii="Times New Roman" w:eastAsia="Times New Roman" w:hAnsi="Times New Roman" w:cs="Times New Roman"/>
                <w:sz w:val="24"/>
                <w:szCs w:val="24"/>
                <w:lang w:eastAsia="en-TT"/>
              </w:rPr>
            </w:pPr>
            <w:r w:rsidRPr="003A573E">
              <w:rPr>
                <w:rFonts w:ascii="Times New Roman" w:eastAsia="Times New Roman" w:hAnsi="Times New Roman" w:cs="Times New Roman"/>
                <w:color w:val="000000"/>
                <w:sz w:val="24"/>
                <w:szCs w:val="24"/>
                <w:lang w:eastAsia="en-TT"/>
              </w:rPr>
              <w:t>affected splint bone uppermost or dorsal recumbency</w:t>
            </w:r>
          </w:p>
          <w:p w14:paraId="1A77B0B8" w14:textId="77777777" w:rsidR="003A573E" w:rsidRPr="003A573E" w:rsidRDefault="003A573E" w:rsidP="003A573E">
            <w:pPr>
              <w:spacing w:after="0" w:line="240" w:lineRule="auto"/>
              <w:rPr>
                <w:rFonts w:ascii="Times New Roman" w:eastAsia="Times New Roman" w:hAnsi="Times New Roman" w:cs="Times New Roman"/>
                <w:sz w:val="24"/>
                <w:szCs w:val="24"/>
                <w:lang w:eastAsia="en-TT"/>
              </w:rPr>
            </w:pPr>
            <w:r w:rsidRPr="003A573E">
              <w:rPr>
                <w:rFonts w:ascii="Times New Roman" w:eastAsia="Times New Roman" w:hAnsi="Times New Roman" w:cs="Times New Roman"/>
                <w:color w:val="000000"/>
                <w:sz w:val="24"/>
                <w:szCs w:val="24"/>
                <w:lang w:eastAsia="en-TT"/>
              </w:rPr>
              <w:t>with the injured leg suspended.</w:t>
            </w:r>
          </w:p>
        </w:tc>
      </w:tr>
      <w:tr w:rsidR="003A573E" w:rsidRPr="003A573E" w14:paraId="5A0A4852" w14:textId="77777777" w:rsidTr="003A57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28080" w14:textId="77777777" w:rsidR="003A573E" w:rsidRPr="003A573E" w:rsidRDefault="003A573E" w:rsidP="003A573E">
            <w:pPr>
              <w:spacing w:after="0" w:line="240" w:lineRule="auto"/>
              <w:rPr>
                <w:rFonts w:ascii="Times New Roman" w:eastAsia="Times New Roman" w:hAnsi="Times New Roman" w:cs="Times New Roman"/>
                <w:sz w:val="24"/>
                <w:szCs w:val="24"/>
                <w:lang w:eastAsia="en-TT"/>
              </w:rPr>
            </w:pPr>
            <w:r w:rsidRPr="003A573E">
              <w:rPr>
                <w:rFonts w:ascii="Times New Roman" w:eastAsia="Times New Roman" w:hAnsi="Times New Roman" w:cs="Times New Roman"/>
                <w:color w:val="000000"/>
                <w:sz w:val="24"/>
                <w:szCs w:val="24"/>
                <w:lang w:eastAsia="en-TT"/>
              </w:rPr>
              <w:t>Surgical Technique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8923B" w14:textId="77777777" w:rsidR="003A573E" w:rsidRPr="003A573E" w:rsidRDefault="003A573E" w:rsidP="003A573E">
            <w:pPr>
              <w:numPr>
                <w:ilvl w:val="0"/>
                <w:numId w:val="1"/>
              </w:numPr>
              <w:spacing w:after="0" w:line="240" w:lineRule="auto"/>
              <w:textAlignment w:val="baseline"/>
              <w:rPr>
                <w:rFonts w:ascii="Times New Roman" w:eastAsia="Times New Roman" w:hAnsi="Times New Roman" w:cs="Times New Roman"/>
                <w:color w:val="000000"/>
                <w:sz w:val="24"/>
                <w:szCs w:val="24"/>
                <w:lang w:eastAsia="en-TT"/>
              </w:rPr>
            </w:pPr>
            <w:r w:rsidRPr="003A573E">
              <w:rPr>
                <w:rFonts w:ascii="Times New Roman" w:eastAsia="Times New Roman" w:hAnsi="Times New Roman" w:cs="Times New Roman"/>
                <w:color w:val="000000"/>
                <w:sz w:val="24"/>
                <w:szCs w:val="24"/>
                <w:lang w:eastAsia="en-TT"/>
              </w:rPr>
              <w:t>A variable-length incision is made directly over the splint bone, extending from approximately 1 cm distal to the distal extremity of the splint bone to approximately 2 cm proximal to the proposed site of amputation.</w:t>
            </w:r>
          </w:p>
          <w:p w14:paraId="628EB234" w14:textId="77777777" w:rsidR="003A573E" w:rsidRPr="003A573E" w:rsidRDefault="003A573E" w:rsidP="003A573E">
            <w:pPr>
              <w:numPr>
                <w:ilvl w:val="0"/>
                <w:numId w:val="1"/>
              </w:numPr>
              <w:spacing w:after="0" w:line="240" w:lineRule="auto"/>
              <w:textAlignment w:val="baseline"/>
              <w:rPr>
                <w:rFonts w:ascii="Times New Roman" w:eastAsia="Times New Roman" w:hAnsi="Times New Roman" w:cs="Times New Roman"/>
                <w:color w:val="000000"/>
                <w:sz w:val="24"/>
                <w:szCs w:val="24"/>
                <w:lang w:eastAsia="en-TT"/>
              </w:rPr>
            </w:pPr>
            <w:r w:rsidRPr="003A573E">
              <w:rPr>
                <w:rFonts w:ascii="Times New Roman" w:eastAsia="Times New Roman" w:hAnsi="Times New Roman" w:cs="Times New Roman"/>
                <w:color w:val="000000"/>
                <w:sz w:val="24"/>
                <w:szCs w:val="24"/>
                <w:lang w:eastAsia="en-TT"/>
              </w:rPr>
              <w:t>The subcutaneous fascia is incised along the same line as the incision, through the periosteum.</w:t>
            </w:r>
          </w:p>
          <w:p w14:paraId="17576DC1" w14:textId="77777777" w:rsidR="003A573E" w:rsidRPr="003A573E" w:rsidRDefault="003A573E" w:rsidP="003A573E">
            <w:pPr>
              <w:numPr>
                <w:ilvl w:val="0"/>
                <w:numId w:val="1"/>
              </w:numPr>
              <w:spacing w:after="0" w:line="240" w:lineRule="auto"/>
              <w:textAlignment w:val="baseline"/>
              <w:rPr>
                <w:rFonts w:ascii="Times New Roman" w:eastAsia="Times New Roman" w:hAnsi="Times New Roman" w:cs="Times New Roman"/>
                <w:color w:val="000000"/>
                <w:sz w:val="24"/>
                <w:szCs w:val="24"/>
                <w:lang w:eastAsia="en-TT"/>
              </w:rPr>
            </w:pPr>
            <w:r w:rsidRPr="003A573E">
              <w:rPr>
                <w:rFonts w:ascii="Times New Roman" w:eastAsia="Times New Roman" w:hAnsi="Times New Roman" w:cs="Times New Roman"/>
                <w:color w:val="000000"/>
                <w:sz w:val="24"/>
                <w:szCs w:val="24"/>
                <w:lang w:eastAsia="en-TT"/>
              </w:rPr>
              <w:t>The distal end of the splint bone is undermined with the aid of sharp dissection and is freed from surrounding</w:t>
            </w:r>
          </w:p>
          <w:p w14:paraId="101A3811" w14:textId="77777777" w:rsidR="003A573E" w:rsidRPr="003A573E" w:rsidRDefault="003A573E" w:rsidP="003A573E">
            <w:pPr>
              <w:numPr>
                <w:ilvl w:val="0"/>
                <w:numId w:val="1"/>
              </w:numPr>
              <w:spacing w:after="0" w:line="240" w:lineRule="auto"/>
              <w:textAlignment w:val="baseline"/>
              <w:rPr>
                <w:rFonts w:ascii="Times New Roman" w:eastAsia="Times New Roman" w:hAnsi="Times New Roman" w:cs="Times New Roman"/>
                <w:color w:val="000000"/>
                <w:sz w:val="24"/>
                <w:szCs w:val="24"/>
                <w:lang w:eastAsia="en-TT"/>
              </w:rPr>
            </w:pPr>
            <w:r w:rsidRPr="003A573E">
              <w:rPr>
                <w:rFonts w:ascii="Times New Roman" w:eastAsia="Times New Roman" w:hAnsi="Times New Roman" w:cs="Times New Roman"/>
                <w:color w:val="000000"/>
                <w:sz w:val="24"/>
                <w:szCs w:val="24"/>
                <w:lang w:eastAsia="en-TT"/>
              </w:rPr>
              <w:t xml:space="preserve">Fascia and the end </w:t>
            </w:r>
            <w:proofErr w:type="gramStart"/>
            <w:r w:rsidRPr="003A573E">
              <w:rPr>
                <w:rFonts w:ascii="Times New Roman" w:eastAsia="Times New Roman" w:hAnsi="Times New Roman" w:cs="Times New Roman"/>
                <w:color w:val="000000"/>
                <w:sz w:val="24"/>
                <w:szCs w:val="24"/>
                <w:lang w:eastAsia="en-TT"/>
              </w:rPr>
              <w:t>is</w:t>
            </w:r>
            <w:proofErr w:type="gramEnd"/>
            <w:r w:rsidRPr="003A573E">
              <w:rPr>
                <w:rFonts w:ascii="Times New Roman" w:eastAsia="Times New Roman" w:hAnsi="Times New Roman" w:cs="Times New Roman"/>
                <w:color w:val="000000"/>
                <w:sz w:val="24"/>
                <w:szCs w:val="24"/>
                <w:lang w:eastAsia="en-TT"/>
              </w:rPr>
              <w:t xml:space="preserve"> grasped firmly with forceps, such as Ochsner forceps.</w:t>
            </w:r>
          </w:p>
          <w:p w14:paraId="58E5AB6E" w14:textId="77777777" w:rsidR="003A573E" w:rsidRPr="003A573E" w:rsidRDefault="003A573E" w:rsidP="003A573E">
            <w:pPr>
              <w:numPr>
                <w:ilvl w:val="0"/>
                <w:numId w:val="1"/>
              </w:numPr>
              <w:spacing w:after="0" w:line="240" w:lineRule="auto"/>
              <w:textAlignment w:val="baseline"/>
              <w:rPr>
                <w:rFonts w:ascii="Times New Roman" w:eastAsia="Times New Roman" w:hAnsi="Times New Roman" w:cs="Times New Roman"/>
                <w:color w:val="000000"/>
                <w:sz w:val="24"/>
                <w:szCs w:val="24"/>
                <w:lang w:eastAsia="en-TT"/>
              </w:rPr>
            </w:pPr>
            <w:r w:rsidRPr="003A573E">
              <w:rPr>
                <w:rFonts w:ascii="Times New Roman" w:eastAsia="Times New Roman" w:hAnsi="Times New Roman" w:cs="Times New Roman"/>
                <w:color w:val="000000"/>
                <w:sz w:val="24"/>
                <w:szCs w:val="24"/>
                <w:lang w:eastAsia="en-TT"/>
              </w:rPr>
              <w:t>With further sharp dis-section, the splint bone is separated from its attachments to the third metacarpal or metatarsal bone either a chisel or a curved osteotome. </w:t>
            </w:r>
          </w:p>
          <w:p w14:paraId="7DEE9132" w14:textId="77777777" w:rsidR="003A573E" w:rsidRPr="003A573E" w:rsidRDefault="003A573E" w:rsidP="003A573E">
            <w:pPr>
              <w:numPr>
                <w:ilvl w:val="0"/>
                <w:numId w:val="1"/>
              </w:numPr>
              <w:spacing w:after="0" w:line="240" w:lineRule="auto"/>
              <w:textAlignment w:val="baseline"/>
              <w:rPr>
                <w:rFonts w:ascii="Times New Roman" w:eastAsia="Times New Roman" w:hAnsi="Times New Roman" w:cs="Times New Roman"/>
                <w:color w:val="000000"/>
                <w:sz w:val="24"/>
                <w:szCs w:val="24"/>
                <w:lang w:eastAsia="en-TT"/>
              </w:rPr>
            </w:pPr>
            <w:r w:rsidRPr="003A573E">
              <w:rPr>
                <w:rFonts w:ascii="Times New Roman" w:eastAsia="Times New Roman" w:hAnsi="Times New Roman" w:cs="Times New Roman"/>
                <w:color w:val="000000"/>
                <w:sz w:val="24"/>
                <w:szCs w:val="24"/>
                <w:lang w:eastAsia="en-TT"/>
              </w:rPr>
              <w:t>The splint bone should be amputated above the fracture site or the area of infection with the aid of a chisel or osteotome and removed (a large curette is sometimes necessary to remove diseased bone adequately).</w:t>
            </w:r>
          </w:p>
          <w:p w14:paraId="44451D21" w14:textId="77777777" w:rsidR="003A573E" w:rsidRPr="003A573E" w:rsidRDefault="003A573E" w:rsidP="003A573E">
            <w:pPr>
              <w:numPr>
                <w:ilvl w:val="0"/>
                <w:numId w:val="1"/>
              </w:numPr>
              <w:spacing w:after="0" w:line="240" w:lineRule="auto"/>
              <w:textAlignment w:val="baseline"/>
              <w:rPr>
                <w:rFonts w:ascii="Times New Roman" w:eastAsia="Times New Roman" w:hAnsi="Times New Roman" w:cs="Times New Roman"/>
                <w:color w:val="000000"/>
                <w:sz w:val="24"/>
                <w:szCs w:val="24"/>
                <w:lang w:eastAsia="en-TT"/>
              </w:rPr>
            </w:pPr>
            <w:r w:rsidRPr="003A573E">
              <w:rPr>
                <w:rFonts w:ascii="Times New Roman" w:eastAsia="Times New Roman" w:hAnsi="Times New Roman" w:cs="Times New Roman"/>
                <w:color w:val="000000"/>
                <w:sz w:val="24"/>
                <w:szCs w:val="24"/>
                <w:lang w:eastAsia="en-TT"/>
              </w:rPr>
              <w:t>Following removal of the splint bone, the subcutaneous tissue should be closed with a synthetic absorbable suture. The skin should be closed with a monofilament nonabsorbable suture using a simple interrupted pattern. </w:t>
            </w:r>
          </w:p>
          <w:p w14:paraId="2A7B5F78" w14:textId="77777777" w:rsidR="003A573E" w:rsidRPr="003A573E" w:rsidRDefault="003A573E" w:rsidP="003A573E">
            <w:pPr>
              <w:numPr>
                <w:ilvl w:val="0"/>
                <w:numId w:val="1"/>
              </w:numPr>
              <w:spacing w:after="0" w:line="240" w:lineRule="auto"/>
              <w:textAlignment w:val="baseline"/>
              <w:rPr>
                <w:rFonts w:ascii="Times New Roman" w:eastAsia="Times New Roman" w:hAnsi="Times New Roman" w:cs="Times New Roman"/>
                <w:color w:val="000000"/>
                <w:sz w:val="24"/>
                <w:szCs w:val="24"/>
                <w:lang w:eastAsia="en-TT"/>
              </w:rPr>
            </w:pPr>
            <w:r w:rsidRPr="003A573E">
              <w:rPr>
                <w:rFonts w:ascii="Times New Roman" w:eastAsia="Times New Roman" w:hAnsi="Times New Roman" w:cs="Times New Roman"/>
                <w:color w:val="000000"/>
                <w:sz w:val="24"/>
                <w:szCs w:val="24"/>
                <w:lang w:eastAsia="en-TT"/>
              </w:rPr>
              <w:t>The incision is covered with an antimicrobial dressing and is placed under a pressure bandage.</w:t>
            </w:r>
          </w:p>
        </w:tc>
      </w:tr>
      <w:tr w:rsidR="003A573E" w:rsidRPr="003A573E" w14:paraId="65ED79E0" w14:textId="77777777" w:rsidTr="003A57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567CD" w14:textId="77777777" w:rsidR="003A573E" w:rsidRPr="003A573E" w:rsidRDefault="003A573E" w:rsidP="003A573E">
            <w:pPr>
              <w:spacing w:after="0" w:line="240" w:lineRule="auto"/>
              <w:rPr>
                <w:rFonts w:ascii="Times New Roman" w:eastAsia="Times New Roman" w:hAnsi="Times New Roman" w:cs="Times New Roman"/>
                <w:sz w:val="24"/>
                <w:szCs w:val="24"/>
                <w:lang w:eastAsia="en-TT"/>
              </w:rPr>
            </w:pPr>
            <w:r w:rsidRPr="003A573E">
              <w:rPr>
                <w:rFonts w:ascii="Times New Roman" w:eastAsia="Times New Roman" w:hAnsi="Times New Roman" w:cs="Times New Roman"/>
                <w:color w:val="000000"/>
                <w:sz w:val="24"/>
                <w:szCs w:val="24"/>
                <w:lang w:eastAsia="en-TT"/>
              </w:rPr>
              <w:t>Post-operative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C0089" w14:textId="77777777" w:rsidR="003A573E" w:rsidRPr="003A573E" w:rsidRDefault="003A573E" w:rsidP="003A573E">
            <w:pPr>
              <w:numPr>
                <w:ilvl w:val="0"/>
                <w:numId w:val="2"/>
              </w:numPr>
              <w:spacing w:after="0" w:line="240" w:lineRule="auto"/>
              <w:textAlignment w:val="baseline"/>
              <w:rPr>
                <w:rFonts w:ascii="Times New Roman" w:eastAsia="Times New Roman" w:hAnsi="Times New Roman" w:cs="Times New Roman"/>
                <w:color w:val="000000"/>
                <w:sz w:val="24"/>
                <w:szCs w:val="24"/>
                <w:lang w:eastAsia="en-TT"/>
              </w:rPr>
            </w:pPr>
            <w:r w:rsidRPr="003A573E">
              <w:rPr>
                <w:rFonts w:ascii="Times New Roman" w:eastAsia="Times New Roman" w:hAnsi="Times New Roman" w:cs="Times New Roman"/>
                <w:color w:val="000000"/>
                <w:sz w:val="24"/>
                <w:szCs w:val="24"/>
                <w:lang w:eastAsia="en-TT"/>
              </w:rPr>
              <w:t>Tetanus prophylaxis is administered.</w:t>
            </w:r>
          </w:p>
          <w:p w14:paraId="7FDD522B" w14:textId="77777777" w:rsidR="003A573E" w:rsidRPr="003A573E" w:rsidRDefault="003A573E" w:rsidP="003A573E">
            <w:pPr>
              <w:numPr>
                <w:ilvl w:val="0"/>
                <w:numId w:val="2"/>
              </w:numPr>
              <w:spacing w:after="0" w:line="240" w:lineRule="auto"/>
              <w:textAlignment w:val="baseline"/>
              <w:rPr>
                <w:rFonts w:ascii="Times New Roman" w:eastAsia="Times New Roman" w:hAnsi="Times New Roman" w:cs="Times New Roman"/>
                <w:color w:val="000000"/>
                <w:sz w:val="24"/>
                <w:szCs w:val="24"/>
                <w:lang w:eastAsia="en-TT"/>
              </w:rPr>
            </w:pPr>
            <w:r w:rsidRPr="003A573E">
              <w:rPr>
                <w:rFonts w:ascii="Times New Roman" w:eastAsia="Times New Roman" w:hAnsi="Times New Roman" w:cs="Times New Roman"/>
                <w:color w:val="000000"/>
                <w:sz w:val="24"/>
                <w:szCs w:val="24"/>
                <w:lang w:eastAsia="en-TT"/>
              </w:rPr>
              <w:t>Antibiotics are used in cases of acute (active) osteitis or osteomyelitis.</w:t>
            </w:r>
          </w:p>
          <w:p w14:paraId="68A649FC" w14:textId="77777777" w:rsidR="003A573E" w:rsidRPr="003A573E" w:rsidRDefault="003A573E" w:rsidP="003A573E">
            <w:pPr>
              <w:numPr>
                <w:ilvl w:val="0"/>
                <w:numId w:val="2"/>
              </w:numPr>
              <w:spacing w:after="0" w:line="240" w:lineRule="auto"/>
              <w:textAlignment w:val="baseline"/>
              <w:rPr>
                <w:rFonts w:ascii="Times New Roman" w:eastAsia="Times New Roman" w:hAnsi="Times New Roman" w:cs="Times New Roman"/>
                <w:color w:val="000000"/>
                <w:sz w:val="24"/>
                <w:szCs w:val="24"/>
                <w:lang w:eastAsia="en-TT"/>
              </w:rPr>
            </w:pPr>
            <w:r w:rsidRPr="003A573E">
              <w:rPr>
                <w:rFonts w:ascii="Times New Roman" w:eastAsia="Times New Roman" w:hAnsi="Times New Roman" w:cs="Times New Roman"/>
                <w:color w:val="000000"/>
                <w:sz w:val="24"/>
                <w:szCs w:val="24"/>
                <w:lang w:eastAsia="en-TT"/>
              </w:rPr>
              <w:lastRenderedPageBreak/>
              <w:t>The limb should be kept under a pressure bandage for 3 to 4 weeks, due to haemorrhage, change the bandage in the first 1 to 2 days postoperatively. </w:t>
            </w:r>
          </w:p>
          <w:p w14:paraId="4E7126E2" w14:textId="77777777" w:rsidR="003A573E" w:rsidRPr="003A573E" w:rsidRDefault="003A573E" w:rsidP="003A573E">
            <w:pPr>
              <w:numPr>
                <w:ilvl w:val="0"/>
                <w:numId w:val="2"/>
              </w:numPr>
              <w:spacing w:after="0" w:line="240" w:lineRule="auto"/>
              <w:textAlignment w:val="baseline"/>
              <w:rPr>
                <w:rFonts w:ascii="Times New Roman" w:eastAsia="Times New Roman" w:hAnsi="Times New Roman" w:cs="Times New Roman"/>
                <w:color w:val="000000"/>
                <w:sz w:val="24"/>
                <w:szCs w:val="24"/>
                <w:lang w:eastAsia="en-TT"/>
              </w:rPr>
            </w:pPr>
            <w:r w:rsidRPr="003A573E">
              <w:rPr>
                <w:rFonts w:ascii="Times New Roman" w:eastAsia="Times New Roman" w:hAnsi="Times New Roman" w:cs="Times New Roman"/>
                <w:color w:val="000000"/>
                <w:sz w:val="24"/>
                <w:szCs w:val="24"/>
                <w:lang w:eastAsia="en-TT"/>
              </w:rPr>
              <w:t>Skin sutures should be removed 10 to 14 days after surgery.</w:t>
            </w:r>
          </w:p>
        </w:tc>
      </w:tr>
      <w:tr w:rsidR="003A573E" w:rsidRPr="003A573E" w14:paraId="0B9B2D0D" w14:textId="77777777" w:rsidTr="003A57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9750B" w14:textId="77777777" w:rsidR="003A573E" w:rsidRPr="003A573E" w:rsidRDefault="003A573E" w:rsidP="003A573E">
            <w:pPr>
              <w:spacing w:after="0" w:line="240" w:lineRule="auto"/>
              <w:rPr>
                <w:rFonts w:ascii="Times New Roman" w:eastAsia="Times New Roman" w:hAnsi="Times New Roman" w:cs="Times New Roman"/>
                <w:sz w:val="24"/>
                <w:szCs w:val="24"/>
                <w:lang w:eastAsia="en-TT"/>
              </w:rPr>
            </w:pPr>
            <w:r w:rsidRPr="003A573E">
              <w:rPr>
                <w:rFonts w:ascii="Times New Roman" w:eastAsia="Times New Roman" w:hAnsi="Times New Roman" w:cs="Times New Roman"/>
                <w:color w:val="000000"/>
                <w:sz w:val="24"/>
                <w:szCs w:val="24"/>
                <w:lang w:eastAsia="en-TT"/>
              </w:rPr>
              <w:lastRenderedPageBreak/>
              <w:t>Considerations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C0BB4" w14:textId="77777777" w:rsidR="003A573E" w:rsidRPr="003A573E" w:rsidRDefault="003A573E" w:rsidP="003A573E">
            <w:pPr>
              <w:numPr>
                <w:ilvl w:val="0"/>
                <w:numId w:val="3"/>
              </w:numPr>
              <w:spacing w:after="0" w:line="240" w:lineRule="auto"/>
              <w:textAlignment w:val="baseline"/>
              <w:rPr>
                <w:rFonts w:ascii="Times New Roman" w:eastAsia="Times New Roman" w:hAnsi="Times New Roman" w:cs="Times New Roman"/>
                <w:color w:val="000000"/>
                <w:sz w:val="24"/>
                <w:szCs w:val="24"/>
                <w:lang w:eastAsia="en-TT"/>
              </w:rPr>
            </w:pPr>
            <w:r w:rsidRPr="003A573E">
              <w:rPr>
                <w:rFonts w:ascii="Times New Roman" w:eastAsia="Times New Roman" w:hAnsi="Times New Roman" w:cs="Times New Roman"/>
                <w:color w:val="000000"/>
                <w:sz w:val="24"/>
                <w:szCs w:val="24"/>
                <w:lang w:eastAsia="en-TT"/>
              </w:rPr>
              <w:t>When amputating a lateral splint bone in the pelvic limb, be careful to avoid incising the large, dorsal metatarsal artery III (great metatarsal artery), which lies above and between the third and fourth metatarsal bones in the interosseous space. If the artery is inadvertently severed, it can be ligated without causing problems associated with loss of blood supply to the distal limb.</w:t>
            </w:r>
          </w:p>
          <w:p w14:paraId="0319B0AA" w14:textId="77777777" w:rsidR="003A573E" w:rsidRPr="003A573E" w:rsidRDefault="003A573E" w:rsidP="003A573E">
            <w:pPr>
              <w:numPr>
                <w:ilvl w:val="0"/>
                <w:numId w:val="3"/>
              </w:numPr>
              <w:spacing w:after="0" w:line="240" w:lineRule="auto"/>
              <w:textAlignment w:val="baseline"/>
              <w:rPr>
                <w:rFonts w:ascii="Times New Roman" w:eastAsia="Times New Roman" w:hAnsi="Times New Roman" w:cs="Times New Roman"/>
                <w:color w:val="000000"/>
                <w:sz w:val="24"/>
                <w:szCs w:val="24"/>
                <w:lang w:eastAsia="en-TT"/>
              </w:rPr>
            </w:pPr>
            <w:r w:rsidRPr="003A573E">
              <w:rPr>
                <w:rFonts w:ascii="Times New Roman" w:eastAsia="Times New Roman" w:hAnsi="Times New Roman" w:cs="Times New Roman"/>
                <w:color w:val="000000"/>
                <w:sz w:val="24"/>
                <w:szCs w:val="24"/>
                <w:lang w:eastAsia="en-TT"/>
              </w:rPr>
              <w:t>Some patients with a severe infectious process or significant dead space may require a Penrose drain for a few days, however, a good pressure bandage is often adequate to reduce dead space.</w:t>
            </w:r>
          </w:p>
        </w:tc>
      </w:tr>
      <w:tr w:rsidR="003A573E" w:rsidRPr="003A573E" w14:paraId="71FEEB6D" w14:textId="77777777" w:rsidTr="003A57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BF42E" w14:textId="77777777" w:rsidR="003A573E" w:rsidRPr="003A573E" w:rsidRDefault="003A573E" w:rsidP="003A573E">
            <w:pPr>
              <w:spacing w:after="0" w:line="240" w:lineRule="auto"/>
              <w:rPr>
                <w:rFonts w:ascii="Times New Roman" w:eastAsia="Times New Roman" w:hAnsi="Times New Roman" w:cs="Times New Roman"/>
                <w:sz w:val="24"/>
                <w:szCs w:val="24"/>
                <w:lang w:eastAsia="en-TT"/>
              </w:rPr>
            </w:pPr>
            <w:r w:rsidRPr="003A573E">
              <w:rPr>
                <w:rFonts w:ascii="Times New Roman" w:eastAsia="Times New Roman" w:hAnsi="Times New Roman" w:cs="Times New Roman"/>
                <w:color w:val="000000"/>
                <w:sz w:val="24"/>
                <w:szCs w:val="24"/>
                <w:lang w:eastAsia="en-TT"/>
              </w:rPr>
              <w:t>Complications and Prognosis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35E39" w14:textId="77777777" w:rsidR="003A573E" w:rsidRPr="003A573E" w:rsidRDefault="003A573E" w:rsidP="003A573E">
            <w:pPr>
              <w:spacing w:after="0" w:line="240" w:lineRule="auto"/>
              <w:rPr>
                <w:rFonts w:ascii="Times New Roman" w:eastAsia="Times New Roman" w:hAnsi="Times New Roman" w:cs="Times New Roman"/>
                <w:sz w:val="24"/>
                <w:szCs w:val="24"/>
                <w:lang w:eastAsia="en-TT"/>
              </w:rPr>
            </w:pPr>
            <w:r w:rsidRPr="003A573E">
              <w:rPr>
                <w:rFonts w:ascii="Times New Roman" w:eastAsia="Times New Roman" w:hAnsi="Times New Roman" w:cs="Times New Roman"/>
                <w:color w:val="000000"/>
                <w:sz w:val="24"/>
                <w:szCs w:val="24"/>
                <w:lang w:eastAsia="en-TT"/>
              </w:rPr>
              <w:t xml:space="preserve">In Standardbred horses, suspensory </w:t>
            </w:r>
            <w:proofErr w:type="spellStart"/>
            <w:r w:rsidRPr="003A573E">
              <w:rPr>
                <w:rFonts w:ascii="Times New Roman" w:eastAsia="Times New Roman" w:hAnsi="Times New Roman" w:cs="Times New Roman"/>
                <w:color w:val="000000"/>
                <w:sz w:val="24"/>
                <w:szCs w:val="24"/>
                <w:lang w:eastAsia="en-TT"/>
              </w:rPr>
              <w:t>desmitis</w:t>
            </w:r>
            <w:proofErr w:type="spellEnd"/>
            <w:r w:rsidRPr="003A573E">
              <w:rPr>
                <w:rFonts w:ascii="Times New Roman" w:eastAsia="Times New Roman" w:hAnsi="Times New Roman" w:cs="Times New Roman"/>
                <w:color w:val="000000"/>
                <w:sz w:val="24"/>
                <w:szCs w:val="24"/>
                <w:lang w:eastAsia="en-TT"/>
              </w:rPr>
              <w:t xml:space="preserve"> rather than the fractured splint bone may limit the prognosis for</w:t>
            </w:r>
          </w:p>
          <w:p w14:paraId="16F28C59" w14:textId="77777777" w:rsidR="003A573E" w:rsidRPr="003A573E" w:rsidRDefault="003A573E" w:rsidP="003A573E">
            <w:pPr>
              <w:spacing w:after="0" w:line="240" w:lineRule="auto"/>
              <w:rPr>
                <w:rFonts w:ascii="Times New Roman" w:eastAsia="Times New Roman" w:hAnsi="Times New Roman" w:cs="Times New Roman"/>
                <w:sz w:val="24"/>
                <w:szCs w:val="24"/>
                <w:lang w:eastAsia="en-TT"/>
              </w:rPr>
            </w:pPr>
            <w:r w:rsidRPr="003A573E">
              <w:rPr>
                <w:rFonts w:ascii="Times New Roman" w:eastAsia="Times New Roman" w:hAnsi="Times New Roman" w:cs="Times New Roman"/>
                <w:color w:val="000000"/>
                <w:sz w:val="24"/>
                <w:szCs w:val="24"/>
                <w:lang w:eastAsia="en-TT"/>
              </w:rPr>
              <w:t>return to athletic soundness.</w:t>
            </w:r>
          </w:p>
        </w:tc>
      </w:tr>
    </w:tbl>
    <w:p w14:paraId="1D432B0F" w14:textId="77777777" w:rsidR="00A95FA9" w:rsidRDefault="00A95FA9"/>
    <w:sectPr w:rsidR="00A95F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240"/>
    <w:multiLevelType w:val="multilevel"/>
    <w:tmpl w:val="0F84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6F7226"/>
    <w:multiLevelType w:val="multilevel"/>
    <w:tmpl w:val="E3F83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8C7E72"/>
    <w:multiLevelType w:val="multilevel"/>
    <w:tmpl w:val="5986C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3E"/>
    <w:rsid w:val="003A573E"/>
    <w:rsid w:val="004177D4"/>
    <w:rsid w:val="004612A1"/>
    <w:rsid w:val="00A95FA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A4C0"/>
  <w15:chartTrackingRefBased/>
  <w15:docId w15:val="{CB31D91E-77A1-40E2-A1BD-AF579657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73E"/>
    <w:pPr>
      <w:spacing w:before="100" w:beforeAutospacing="1" w:after="100" w:afterAutospacing="1" w:line="240" w:lineRule="auto"/>
    </w:pPr>
    <w:rPr>
      <w:rFonts w:ascii="Times New Roman" w:eastAsia="Times New Roman" w:hAnsi="Times New Roman" w:cs="Times New Roman"/>
      <w:sz w:val="24"/>
      <w:szCs w:val="24"/>
      <w:lang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adrianna.dhaniram</dc:creator>
  <cp:keywords/>
  <dc:description/>
  <cp:lastModifiedBy>adrianna.dhaniram</cp:lastModifiedBy>
  <cp:revision>2</cp:revision>
  <dcterms:created xsi:type="dcterms:W3CDTF">2021-11-15T12:38:00Z</dcterms:created>
  <dcterms:modified xsi:type="dcterms:W3CDTF">2021-11-15T12:40:00Z</dcterms:modified>
</cp:coreProperties>
</file>