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007" w:type="dxa"/>
        <w:tblInd w:w="-1263" w:type="dxa"/>
        <w:tblLayout w:type="fixed"/>
        <w:tblCellMar>
          <w:top w:w="15" w:type="dxa"/>
          <w:left w:w="15" w:type="dxa"/>
          <w:bottom w:w="15" w:type="dxa"/>
          <w:right w:w="15" w:type="dxa"/>
        </w:tblCellMar>
        <w:tblLook w:val="04A0" w:firstRow="1" w:lastRow="0" w:firstColumn="1" w:lastColumn="0" w:noHBand="0" w:noVBand="1"/>
      </w:tblPr>
      <w:tblGrid>
        <w:gridCol w:w="1613"/>
        <w:gridCol w:w="1620"/>
        <w:gridCol w:w="1350"/>
        <w:gridCol w:w="1800"/>
        <w:gridCol w:w="2070"/>
        <w:gridCol w:w="2157"/>
        <w:gridCol w:w="2157"/>
        <w:gridCol w:w="3240"/>
      </w:tblGrid>
      <w:tr w:rsidR="0024565D" w:rsidRPr="00D1216E" w14:paraId="471FF939" w14:textId="77777777" w:rsidTr="00935ECE">
        <w:tc>
          <w:tcPr>
            <w:tcW w:w="1613"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78EB1666" w14:textId="77777777" w:rsidR="0024565D" w:rsidRPr="0038744E" w:rsidRDefault="0024565D" w:rsidP="00D1216E">
            <w:pPr>
              <w:rPr>
                <w:sz w:val="20"/>
                <w:szCs w:val="20"/>
              </w:rPr>
            </w:pPr>
            <w:r w:rsidRPr="0038744E">
              <w:rPr>
                <w:rFonts w:ascii="Arial" w:hAnsi="Arial" w:cs="Arial"/>
                <w:b/>
                <w:bCs/>
                <w:color w:val="000000"/>
                <w:sz w:val="20"/>
                <w:szCs w:val="20"/>
              </w:rPr>
              <w:t>NAME OF DRUG</w:t>
            </w:r>
          </w:p>
        </w:tc>
        <w:tc>
          <w:tcPr>
            <w:tcW w:w="162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6DC72CF4" w14:textId="77777777" w:rsidR="0024565D" w:rsidRPr="0038744E" w:rsidRDefault="0024565D" w:rsidP="00D1216E">
            <w:pPr>
              <w:rPr>
                <w:sz w:val="20"/>
                <w:szCs w:val="20"/>
              </w:rPr>
            </w:pPr>
            <w:r w:rsidRPr="0038744E">
              <w:rPr>
                <w:rFonts w:ascii="Arial" w:hAnsi="Arial" w:cs="Arial"/>
                <w:b/>
                <w:bCs/>
                <w:color w:val="000000"/>
                <w:sz w:val="20"/>
                <w:szCs w:val="20"/>
              </w:rPr>
              <w:t>Class of drug</w:t>
            </w:r>
          </w:p>
        </w:tc>
        <w:tc>
          <w:tcPr>
            <w:tcW w:w="135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0D148E0C" w14:textId="77777777" w:rsidR="0024565D" w:rsidRPr="0038744E" w:rsidRDefault="0024565D" w:rsidP="00D1216E">
            <w:pPr>
              <w:rPr>
                <w:sz w:val="20"/>
                <w:szCs w:val="20"/>
              </w:rPr>
            </w:pPr>
            <w:r w:rsidRPr="0038744E">
              <w:rPr>
                <w:rFonts w:ascii="Arial" w:hAnsi="Arial" w:cs="Arial"/>
                <w:b/>
                <w:bCs/>
                <w:color w:val="000000"/>
                <w:sz w:val="20"/>
                <w:szCs w:val="20"/>
              </w:rPr>
              <w:t>ACTIVE INGREDIENT</w:t>
            </w:r>
          </w:p>
        </w:tc>
        <w:tc>
          <w:tcPr>
            <w:tcW w:w="1800" w:type="dxa"/>
            <w:tcBorders>
              <w:top w:val="single" w:sz="8" w:space="0" w:color="000000"/>
              <w:left w:val="single" w:sz="8" w:space="0" w:color="000000"/>
              <w:bottom w:val="single" w:sz="8" w:space="0" w:color="000000"/>
              <w:right w:val="single" w:sz="8" w:space="0" w:color="000000"/>
            </w:tcBorders>
            <w:shd w:val="clear" w:color="auto" w:fill="B7B7B7"/>
          </w:tcPr>
          <w:p w14:paraId="384F9D9D" w14:textId="045F9819" w:rsidR="0024565D" w:rsidRPr="0038744E" w:rsidRDefault="0024565D" w:rsidP="00D1216E">
            <w:pPr>
              <w:rPr>
                <w:rFonts w:ascii="Arial" w:hAnsi="Arial" w:cs="Arial"/>
                <w:b/>
                <w:bCs/>
                <w:color w:val="000000"/>
                <w:sz w:val="20"/>
                <w:szCs w:val="20"/>
                <w:lang w:val="en-029"/>
              </w:rPr>
            </w:pPr>
            <w:r w:rsidRPr="0038744E">
              <w:rPr>
                <w:rFonts w:ascii="Arial" w:hAnsi="Arial" w:cs="Arial"/>
                <w:b/>
                <w:bCs/>
                <w:color w:val="000000"/>
                <w:sz w:val="20"/>
                <w:szCs w:val="20"/>
                <w:lang w:val="en-029"/>
              </w:rPr>
              <w:t>ROUTE OF ADMINISTRATION</w:t>
            </w:r>
          </w:p>
        </w:tc>
        <w:tc>
          <w:tcPr>
            <w:tcW w:w="207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689A0A25" w14:textId="34982DCC" w:rsidR="0024565D" w:rsidRPr="0038744E" w:rsidRDefault="0024565D" w:rsidP="00D1216E">
            <w:pPr>
              <w:rPr>
                <w:sz w:val="20"/>
                <w:szCs w:val="20"/>
              </w:rPr>
            </w:pPr>
            <w:r w:rsidRPr="0038744E">
              <w:rPr>
                <w:rFonts w:ascii="Arial" w:hAnsi="Arial" w:cs="Arial"/>
                <w:b/>
                <w:bCs/>
                <w:color w:val="000000"/>
                <w:sz w:val="20"/>
                <w:szCs w:val="20"/>
                <w:lang w:val="en-029"/>
              </w:rPr>
              <w:t xml:space="preserve">DOSAGE &amp; </w:t>
            </w:r>
            <w:r w:rsidRPr="0038744E">
              <w:rPr>
                <w:rFonts w:ascii="Arial" w:hAnsi="Arial" w:cs="Arial"/>
                <w:b/>
                <w:bCs/>
                <w:color w:val="000000"/>
                <w:sz w:val="20"/>
                <w:szCs w:val="20"/>
              </w:rPr>
              <w:t>CONCENTRATION</w:t>
            </w:r>
          </w:p>
        </w:tc>
        <w:tc>
          <w:tcPr>
            <w:tcW w:w="2157" w:type="dxa"/>
            <w:tcBorders>
              <w:top w:val="single" w:sz="8" w:space="0" w:color="000000"/>
              <w:left w:val="single" w:sz="8" w:space="0" w:color="000000"/>
              <w:bottom w:val="single" w:sz="8" w:space="0" w:color="000000"/>
              <w:right w:val="single" w:sz="8" w:space="0" w:color="000000"/>
            </w:tcBorders>
            <w:shd w:val="clear" w:color="auto" w:fill="B7B7B7"/>
          </w:tcPr>
          <w:p w14:paraId="2DEA3310" w14:textId="15003AE0" w:rsidR="0024565D" w:rsidRPr="0038744E" w:rsidRDefault="0024565D" w:rsidP="00075D0E">
            <w:pPr>
              <w:jc w:val="center"/>
              <w:rPr>
                <w:rFonts w:ascii="Arial" w:hAnsi="Arial" w:cs="Arial"/>
                <w:b/>
                <w:bCs/>
                <w:color w:val="000000"/>
                <w:sz w:val="20"/>
                <w:szCs w:val="20"/>
              </w:rPr>
            </w:pPr>
            <w:r>
              <w:rPr>
                <w:rFonts w:ascii="Arial" w:hAnsi="Arial" w:cs="Arial"/>
                <w:b/>
                <w:bCs/>
                <w:color w:val="000000"/>
                <w:sz w:val="20"/>
                <w:szCs w:val="20"/>
              </w:rPr>
              <w:t>Calculations</w:t>
            </w:r>
          </w:p>
        </w:tc>
        <w:tc>
          <w:tcPr>
            <w:tcW w:w="2157"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78841896" w14:textId="1982119B" w:rsidR="0024565D" w:rsidRPr="0038744E" w:rsidRDefault="0024565D" w:rsidP="00D1216E">
            <w:pPr>
              <w:rPr>
                <w:sz w:val="20"/>
                <w:szCs w:val="20"/>
              </w:rPr>
            </w:pPr>
            <w:r w:rsidRPr="0038744E">
              <w:rPr>
                <w:rFonts w:ascii="Arial" w:hAnsi="Arial" w:cs="Arial"/>
                <w:b/>
                <w:bCs/>
                <w:color w:val="000000"/>
                <w:sz w:val="20"/>
                <w:szCs w:val="20"/>
              </w:rPr>
              <w:t>INDICATIONS FOR USE</w:t>
            </w:r>
          </w:p>
        </w:tc>
        <w:tc>
          <w:tcPr>
            <w:tcW w:w="324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7EB028F3" w14:textId="77777777" w:rsidR="0024565D" w:rsidRPr="0038744E" w:rsidRDefault="0024565D" w:rsidP="00D1216E">
            <w:pPr>
              <w:rPr>
                <w:sz w:val="20"/>
                <w:szCs w:val="20"/>
              </w:rPr>
            </w:pPr>
            <w:r w:rsidRPr="0038744E">
              <w:rPr>
                <w:rFonts w:ascii="Arial" w:hAnsi="Arial" w:cs="Arial"/>
                <w:b/>
                <w:bCs/>
                <w:color w:val="000000"/>
                <w:sz w:val="20"/>
                <w:szCs w:val="20"/>
              </w:rPr>
              <w:t>KEY POINTS</w:t>
            </w:r>
          </w:p>
        </w:tc>
      </w:tr>
      <w:tr w:rsidR="0024565D" w:rsidRPr="003077D7" w14:paraId="2E5E8F6F" w14:textId="77777777" w:rsidTr="00935ECE">
        <w:tc>
          <w:tcPr>
            <w:tcW w:w="1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8DB86" w14:textId="77777777" w:rsidR="0024565D" w:rsidRPr="003077D7" w:rsidRDefault="0024565D" w:rsidP="00FD0B9C">
            <w:proofErr w:type="spellStart"/>
            <w:r w:rsidRPr="003077D7">
              <w:rPr>
                <w:color w:val="000000"/>
              </w:rPr>
              <w:t>Xyla</w:t>
            </w:r>
            <w:proofErr w:type="spellEnd"/>
          </w:p>
          <w:p w14:paraId="347A6EAF" w14:textId="77777777" w:rsidR="0024565D" w:rsidRPr="003077D7" w:rsidRDefault="0024565D" w:rsidP="00FD0B9C"/>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50298" w14:textId="18643721" w:rsidR="0024565D" w:rsidRPr="003077D7" w:rsidRDefault="0024565D" w:rsidP="00FD0B9C">
            <w:pPr>
              <w:rPr>
                <w:lang w:val="en-029"/>
              </w:rPr>
            </w:pPr>
            <w:r w:rsidRPr="003077D7">
              <w:rPr>
                <w:lang w:val="en-029"/>
              </w:rPr>
              <w:t>Sedative</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164F2" w14:textId="77777777" w:rsidR="0024565D" w:rsidRPr="003077D7" w:rsidRDefault="0024565D" w:rsidP="00FD0B9C">
            <w:r w:rsidRPr="003077D7">
              <w:rPr>
                <w:color w:val="000000"/>
              </w:rPr>
              <w:t>Xylazine</w:t>
            </w:r>
          </w:p>
        </w:tc>
        <w:tc>
          <w:tcPr>
            <w:tcW w:w="1800" w:type="dxa"/>
            <w:tcBorders>
              <w:top w:val="single" w:sz="8" w:space="0" w:color="000000"/>
              <w:left w:val="single" w:sz="8" w:space="0" w:color="000000"/>
              <w:bottom w:val="single" w:sz="8" w:space="0" w:color="000000"/>
              <w:right w:val="single" w:sz="8" w:space="0" w:color="000000"/>
            </w:tcBorders>
          </w:tcPr>
          <w:p w14:paraId="2E7D34AF" w14:textId="6660B085" w:rsidR="0024565D" w:rsidRPr="003077D7" w:rsidRDefault="0024565D" w:rsidP="00FD0B9C">
            <w:r w:rsidRPr="003077D7">
              <w:rPr>
                <w:color w:val="262626"/>
                <w:shd w:val="clear" w:color="auto" w:fill="FFFFFF"/>
                <w:lang w:val="en-029"/>
              </w:rPr>
              <w:t>I</w:t>
            </w:r>
            <w:r w:rsidRPr="003077D7">
              <w:rPr>
                <w:color w:val="262626"/>
                <w:shd w:val="clear" w:color="auto" w:fill="FFFFFF"/>
              </w:rPr>
              <w:t>ntramuscular administration</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E2E27" w14:textId="54C35CAD" w:rsidR="0024565D" w:rsidRDefault="0024565D" w:rsidP="00FD0B9C">
            <w:pPr>
              <w:rPr>
                <w:lang w:val="en-029"/>
              </w:rPr>
            </w:pPr>
            <w:r w:rsidRPr="003077D7">
              <w:rPr>
                <w:color w:val="000000"/>
                <w:lang w:val="en-029"/>
              </w:rPr>
              <w:t>0.05 mg/kg</w:t>
            </w:r>
          </w:p>
          <w:p w14:paraId="323A8F0D" w14:textId="78BADA5B" w:rsidR="0024565D" w:rsidRPr="003077D7" w:rsidRDefault="0024565D" w:rsidP="00FD0B9C">
            <w:pPr>
              <w:rPr>
                <w:lang w:val="en-029"/>
              </w:rPr>
            </w:pPr>
            <w:r>
              <w:rPr>
                <w:lang w:val="en-029"/>
              </w:rPr>
              <w:t>1</w:t>
            </w:r>
            <w:r w:rsidRPr="003077D7">
              <w:rPr>
                <w:lang w:val="en-029"/>
              </w:rPr>
              <w:t xml:space="preserve"> mg/ml</w:t>
            </w:r>
          </w:p>
        </w:tc>
        <w:tc>
          <w:tcPr>
            <w:tcW w:w="2157" w:type="dxa"/>
            <w:tcBorders>
              <w:top w:val="single" w:sz="8" w:space="0" w:color="000000"/>
              <w:left w:val="single" w:sz="8" w:space="0" w:color="000000"/>
              <w:bottom w:val="single" w:sz="8" w:space="0" w:color="000000"/>
              <w:right w:val="single" w:sz="8" w:space="0" w:color="000000"/>
            </w:tcBorders>
          </w:tcPr>
          <w:p w14:paraId="47191000" w14:textId="77777777" w:rsidR="0024565D" w:rsidRDefault="00075D0E" w:rsidP="00FD0B9C">
            <w:pPr>
              <w:rPr>
                <w:color w:val="000000"/>
              </w:rPr>
            </w:pPr>
            <w:r>
              <w:rPr>
                <w:color w:val="000000"/>
              </w:rPr>
              <w:t>350 kg X 0.05 mg/kg=</w:t>
            </w:r>
          </w:p>
          <w:p w14:paraId="5836591A" w14:textId="77777777" w:rsidR="00075D0E" w:rsidRDefault="00075D0E" w:rsidP="00FD0B9C">
            <w:pPr>
              <w:rPr>
                <w:color w:val="000000"/>
              </w:rPr>
            </w:pPr>
            <w:r>
              <w:rPr>
                <w:color w:val="000000"/>
              </w:rPr>
              <w:t>17.5 mg</w:t>
            </w:r>
            <w:proofErr w:type="gramStart"/>
            <w:r>
              <w:rPr>
                <w:color w:val="000000"/>
              </w:rPr>
              <w:t>/(</w:t>
            </w:r>
            <w:proofErr w:type="gramEnd"/>
            <w:r>
              <w:rPr>
                <w:color w:val="000000"/>
              </w:rPr>
              <w:t>1 mg/ml)=</w:t>
            </w:r>
          </w:p>
          <w:p w14:paraId="3A2327EB" w14:textId="3B8BC1C3" w:rsidR="00075D0E" w:rsidRPr="003077D7" w:rsidRDefault="00075D0E" w:rsidP="00FD0B9C">
            <w:pPr>
              <w:rPr>
                <w:color w:val="000000"/>
              </w:rPr>
            </w:pPr>
            <w:r>
              <w:rPr>
                <w:color w:val="000000"/>
              </w:rPr>
              <w:t>17.5 mL IM</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EB85F" w14:textId="29CD0AC6" w:rsidR="0024565D" w:rsidRPr="003077D7" w:rsidRDefault="0024565D" w:rsidP="00FD0B9C">
            <w:r w:rsidRPr="003077D7">
              <w:rPr>
                <w:color w:val="000000"/>
              </w:rPr>
              <w:t>Sedative, analgesic, and muscle relaxing properties.</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EB615F" w14:textId="63DB6785" w:rsidR="0024565D" w:rsidRPr="003077D7" w:rsidRDefault="0024565D" w:rsidP="00FD0B9C">
            <w:pPr>
              <w:rPr>
                <w:color w:val="000000"/>
              </w:rPr>
            </w:pPr>
            <w:r w:rsidRPr="003077D7">
              <w:rPr>
                <w:color w:val="000000"/>
              </w:rPr>
              <w:t>This drug is contraindicated in pregnant animals, animals with cardiac or respiratory diseases, or animals with pyometra.</w:t>
            </w:r>
          </w:p>
          <w:p w14:paraId="0D54FBFB" w14:textId="286F4884" w:rsidR="0024565D" w:rsidRPr="003077D7" w:rsidRDefault="0024565D" w:rsidP="00FD0B9C">
            <w:pPr>
              <w:rPr>
                <w:color w:val="000000"/>
                <w:lang w:val="en-029"/>
              </w:rPr>
            </w:pPr>
            <w:r w:rsidRPr="003077D7">
              <w:rPr>
                <w:color w:val="000000"/>
                <w:lang w:val="en-029"/>
              </w:rPr>
              <w:t>Reversal of tolazoline (2-4x of the xylazine intravenous) cannot be used until 10-15 minutes after ketamine administration if used.</w:t>
            </w:r>
          </w:p>
          <w:p w14:paraId="6041F6D7" w14:textId="77777777" w:rsidR="0024565D" w:rsidRPr="003077D7" w:rsidRDefault="0024565D" w:rsidP="00FD0B9C">
            <w:pPr>
              <w:rPr>
                <w:color w:val="000000"/>
                <w:lang w:val="en-029"/>
              </w:rPr>
            </w:pPr>
            <w:r w:rsidRPr="003077D7">
              <w:rPr>
                <w:color w:val="000000"/>
                <w:lang w:val="en-029"/>
              </w:rPr>
              <w:t>Alpha 2 agonist</w:t>
            </w:r>
          </w:p>
          <w:p w14:paraId="7D43D565" w14:textId="23903067" w:rsidR="0024565D" w:rsidRPr="003B452C" w:rsidRDefault="0024565D" w:rsidP="00FD0B9C">
            <w:pPr>
              <w:rPr>
                <w:b/>
                <w:bCs/>
                <w:lang w:val="en-029"/>
              </w:rPr>
            </w:pPr>
            <w:r w:rsidRPr="003B452C">
              <w:rPr>
                <w:b/>
                <w:bCs/>
                <w:lang w:val="en-029"/>
              </w:rPr>
              <w:t>Withdrawal time: 0 days</w:t>
            </w:r>
          </w:p>
        </w:tc>
      </w:tr>
      <w:tr w:rsidR="0024565D" w:rsidRPr="003077D7" w14:paraId="70F44448" w14:textId="77777777" w:rsidTr="00935ECE">
        <w:tc>
          <w:tcPr>
            <w:tcW w:w="1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16605" w14:textId="77777777" w:rsidR="0024565D" w:rsidRPr="003077D7" w:rsidRDefault="0024565D" w:rsidP="00FD0B9C">
            <w:r w:rsidRPr="003077D7">
              <w:rPr>
                <w:color w:val="000000"/>
              </w:rPr>
              <w:t>Lidocaine hydrochloride- VEDCO</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3BFB5" w14:textId="166B3B73" w:rsidR="0024565D" w:rsidRPr="003077D7" w:rsidRDefault="0024565D" w:rsidP="00FD0B9C">
            <w:pPr>
              <w:spacing w:after="240"/>
            </w:pPr>
            <w:r w:rsidRPr="003077D7">
              <w:t>local anesthetics.</w:t>
            </w:r>
            <w:r w:rsidRPr="003077D7">
              <w:br/>
            </w:r>
            <w:r w:rsidRPr="003077D7">
              <w:br/>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FE6030" w14:textId="77777777" w:rsidR="0024565D" w:rsidRPr="003077D7" w:rsidRDefault="0024565D" w:rsidP="00FD0B9C">
            <w:r w:rsidRPr="003077D7">
              <w:rPr>
                <w:color w:val="000000"/>
              </w:rPr>
              <w:t>Lidocaine hydrochloride</w:t>
            </w:r>
          </w:p>
        </w:tc>
        <w:tc>
          <w:tcPr>
            <w:tcW w:w="1800" w:type="dxa"/>
            <w:tcBorders>
              <w:top w:val="single" w:sz="8" w:space="0" w:color="000000"/>
              <w:left w:val="single" w:sz="8" w:space="0" w:color="000000"/>
              <w:bottom w:val="single" w:sz="8" w:space="0" w:color="000000"/>
              <w:right w:val="single" w:sz="8" w:space="0" w:color="000000"/>
            </w:tcBorders>
          </w:tcPr>
          <w:p w14:paraId="36E76436" w14:textId="77777777" w:rsidR="0024565D" w:rsidRDefault="0024565D" w:rsidP="00FD0B9C">
            <w:pPr>
              <w:rPr>
                <w:lang w:val="en-029"/>
              </w:rPr>
            </w:pPr>
            <w:r>
              <w:rPr>
                <w:lang w:val="en-029"/>
              </w:rPr>
              <w:t>Intratesticular</w:t>
            </w:r>
          </w:p>
          <w:p w14:paraId="4F8FB666" w14:textId="77777777" w:rsidR="0024565D" w:rsidRDefault="0024565D" w:rsidP="00FD0B9C">
            <w:pPr>
              <w:rPr>
                <w:lang w:val="en-029"/>
              </w:rPr>
            </w:pPr>
            <w:r>
              <w:rPr>
                <w:lang w:val="en-029"/>
              </w:rPr>
              <w:t>Spermatic cord</w:t>
            </w:r>
          </w:p>
          <w:p w14:paraId="7CFE3B47" w14:textId="10F734F3" w:rsidR="0024565D" w:rsidRPr="003077D7" w:rsidRDefault="0024565D" w:rsidP="00FD0B9C">
            <w:pPr>
              <w:rPr>
                <w:lang w:val="en-029"/>
              </w:rPr>
            </w:pPr>
            <w:r>
              <w:rPr>
                <w:lang w:val="en-029"/>
              </w:rPr>
              <w:t>Skin at the level of the vestigial nipple</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555C51" w14:textId="0F49FAEC" w:rsidR="0024565D" w:rsidRDefault="0024565D" w:rsidP="00FD0B9C">
            <w:pPr>
              <w:rPr>
                <w:lang w:val="en-029"/>
              </w:rPr>
            </w:pPr>
            <w:r>
              <w:rPr>
                <w:lang w:val="en-029"/>
              </w:rPr>
              <w:t>5 mg/kg</w:t>
            </w:r>
            <w:r w:rsidR="00075D0E">
              <w:rPr>
                <w:lang w:val="en-029"/>
              </w:rPr>
              <w:t xml:space="preserve"> Intended Max Total for all procedures; (10 mg/kg Toxic Dose)</w:t>
            </w:r>
          </w:p>
          <w:p w14:paraId="69BCFEAE" w14:textId="7B6DB8BE" w:rsidR="0024565D" w:rsidRPr="003077D7" w:rsidRDefault="0024565D" w:rsidP="00FD0B9C">
            <w:pPr>
              <w:rPr>
                <w:lang w:val="en-029"/>
              </w:rPr>
            </w:pPr>
            <w:r w:rsidRPr="003077D7">
              <w:rPr>
                <w:lang w:val="en-029"/>
              </w:rPr>
              <w:t>2% (20 mg/ml)</w:t>
            </w:r>
          </w:p>
        </w:tc>
        <w:tc>
          <w:tcPr>
            <w:tcW w:w="2157" w:type="dxa"/>
            <w:tcBorders>
              <w:top w:val="single" w:sz="8" w:space="0" w:color="000000"/>
              <w:left w:val="single" w:sz="8" w:space="0" w:color="000000"/>
              <w:bottom w:val="single" w:sz="8" w:space="0" w:color="000000"/>
              <w:right w:val="single" w:sz="8" w:space="0" w:color="000000"/>
            </w:tcBorders>
          </w:tcPr>
          <w:p w14:paraId="5A5E6987" w14:textId="32DB4E1F" w:rsidR="00075D0E" w:rsidRDefault="00075D0E" w:rsidP="00FD0B9C">
            <w:pPr>
              <w:rPr>
                <w:color w:val="000000"/>
              </w:rPr>
            </w:pPr>
            <w:r>
              <w:rPr>
                <w:color w:val="000000"/>
              </w:rPr>
              <w:t xml:space="preserve">350 kg X </w:t>
            </w:r>
            <w:r w:rsidR="00726C71">
              <w:rPr>
                <w:color w:val="000000"/>
              </w:rPr>
              <w:t>2.7 mg/kg</w:t>
            </w:r>
            <w:r w:rsidR="003B452C">
              <w:rPr>
                <w:color w:val="000000"/>
              </w:rPr>
              <w:t>=945 mg</w:t>
            </w:r>
            <w:proofErr w:type="gramStart"/>
            <w:r w:rsidR="003B452C">
              <w:rPr>
                <w:color w:val="000000"/>
              </w:rPr>
              <w:t>/(</w:t>
            </w:r>
            <w:proofErr w:type="gramEnd"/>
            <w:r w:rsidR="003B452C">
              <w:rPr>
                <w:color w:val="000000"/>
              </w:rPr>
              <w:t>20 mg/mL)=47.25 mLs</w:t>
            </w:r>
          </w:p>
          <w:p w14:paraId="61F5150D" w14:textId="77777777" w:rsidR="00075D0E" w:rsidRDefault="00075D0E" w:rsidP="00FD0B9C">
            <w:pPr>
              <w:rPr>
                <w:color w:val="000000"/>
              </w:rPr>
            </w:pPr>
          </w:p>
          <w:p w14:paraId="201C10D4" w14:textId="77777777" w:rsidR="0024565D" w:rsidRDefault="00075D0E" w:rsidP="00FD0B9C">
            <w:pPr>
              <w:rPr>
                <w:color w:val="000000"/>
              </w:rPr>
            </w:pPr>
            <w:r w:rsidRPr="00726C71">
              <w:rPr>
                <w:i/>
                <w:iCs/>
                <w:color w:val="000000"/>
              </w:rPr>
              <w:t>Peterson Block</w:t>
            </w:r>
            <w:r>
              <w:rPr>
                <w:color w:val="000000"/>
              </w:rPr>
              <w:t xml:space="preserve">: </w:t>
            </w:r>
            <w:r w:rsidR="00726C71">
              <w:rPr>
                <w:color w:val="000000"/>
              </w:rPr>
              <w:t>20</w:t>
            </w:r>
            <w:r>
              <w:rPr>
                <w:color w:val="000000"/>
              </w:rPr>
              <w:t xml:space="preserve"> mL x 2 sides so </w:t>
            </w:r>
            <w:r w:rsidR="00726C71">
              <w:rPr>
                <w:color w:val="000000"/>
              </w:rPr>
              <w:t>4</w:t>
            </w:r>
            <w:r>
              <w:rPr>
                <w:color w:val="000000"/>
              </w:rPr>
              <w:t xml:space="preserve">0 mLs total; </w:t>
            </w:r>
            <w:r w:rsidRPr="00726C71">
              <w:rPr>
                <w:i/>
                <w:iCs/>
                <w:color w:val="000000"/>
              </w:rPr>
              <w:t>Auriculopalpebral Block</w:t>
            </w:r>
            <w:r>
              <w:rPr>
                <w:color w:val="000000"/>
              </w:rPr>
              <w:t>: 2 mL at 2 locations each side so 8 mLs total</w:t>
            </w:r>
          </w:p>
          <w:p w14:paraId="51530B55" w14:textId="473E3EB7" w:rsidR="00726C71" w:rsidRPr="00726C71" w:rsidRDefault="00726C71" w:rsidP="00FD0B9C">
            <w:pPr>
              <w:rPr>
                <w:b/>
                <w:bCs/>
                <w:color w:val="000000"/>
              </w:rPr>
            </w:pPr>
            <w:r w:rsidRPr="00726C71">
              <w:rPr>
                <w:b/>
                <w:bCs/>
                <w:color w:val="92D050"/>
              </w:rPr>
              <w:t>Total for both blocks used: 48 mLs which is less than 5 mg/kg procedure total (87.5 mL)</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3531F" w14:textId="71BF41FA" w:rsidR="0024565D" w:rsidRPr="003077D7" w:rsidRDefault="0024565D" w:rsidP="00FD0B9C">
            <w:r w:rsidRPr="003077D7">
              <w:rPr>
                <w:color w:val="000000"/>
              </w:rPr>
              <w:t>Local anesthetic which numbs an area of the body to decrease discomfort and pain during invasive medical procedures.</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B6DE4" w14:textId="77777777" w:rsidR="0024565D" w:rsidRPr="003077D7" w:rsidRDefault="0024565D" w:rsidP="00FD0B9C">
            <w:pPr>
              <w:rPr>
                <w:color w:val="000000"/>
              </w:rPr>
            </w:pPr>
            <w:r w:rsidRPr="003077D7">
              <w:rPr>
                <w:color w:val="000000"/>
              </w:rPr>
              <w:t>Drug can be toxic if the correct concentration is not used. Epidural anesthesia is prohibited in dogs that are distressed. This drug should not be given intravenously as a local anesthetic.</w:t>
            </w:r>
          </w:p>
          <w:p w14:paraId="6890BACB" w14:textId="77777777" w:rsidR="0024565D" w:rsidRDefault="0024565D" w:rsidP="00FD0B9C">
            <w:pPr>
              <w:rPr>
                <w:color w:val="000000"/>
                <w:lang w:val="en-029"/>
              </w:rPr>
            </w:pPr>
            <w:r w:rsidRPr="003077D7">
              <w:rPr>
                <w:color w:val="000000"/>
                <w:lang w:val="en-029"/>
              </w:rPr>
              <w:t>Toxic dose in goats is 5mg/kg.</w:t>
            </w:r>
          </w:p>
          <w:p w14:paraId="55A5587C" w14:textId="159B941E" w:rsidR="0024565D" w:rsidRPr="003077D7" w:rsidRDefault="0024565D" w:rsidP="00FD0B9C">
            <w:pPr>
              <w:rPr>
                <w:color w:val="000000"/>
              </w:rPr>
            </w:pPr>
            <w:r>
              <w:rPr>
                <w:color w:val="000000"/>
                <w:lang w:val="en-029"/>
              </w:rPr>
              <w:t>Toxic dose in cattle is 10 mg/kg.</w:t>
            </w:r>
            <w:r w:rsidRPr="003077D7">
              <w:rPr>
                <w:color w:val="000000"/>
              </w:rPr>
              <w:t> </w:t>
            </w:r>
          </w:p>
          <w:p w14:paraId="5318940B" w14:textId="41ADEFB3" w:rsidR="0024565D" w:rsidRPr="003B452C" w:rsidRDefault="0024565D" w:rsidP="00FD0B9C">
            <w:pPr>
              <w:rPr>
                <w:b/>
                <w:bCs/>
              </w:rPr>
            </w:pPr>
            <w:r w:rsidRPr="003B452C">
              <w:rPr>
                <w:b/>
                <w:bCs/>
              </w:rPr>
              <w:t>Withdrawal time: 0 days</w:t>
            </w:r>
          </w:p>
        </w:tc>
      </w:tr>
      <w:tr w:rsidR="0024565D" w:rsidRPr="003077D7" w14:paraId="7246D592" w14:textId="77777777" w:rsidTr="00935ECE">
        <w:tc>
          <w:tcPr>
            <w:tcW w:w="1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C79A3" w14:textId="3EB6318A" w:rsidR="0024565D" w:rsidRPr="003077D7" w:rsidRDefault="0024565D" w:rsidP="00FD0B9C">
            <w:pPr>
              <w:rPr>
                <w:lang w:val="en-029"/>
              </w:rPr>
            </w:pPr>
            <w:proofErr w:type="spellStart"/>
            <w:r w:rsidRPr="003077D7">
              <w:rPr>
                <w:color w:val="000000"/>
              </w:rPr>
              <w:lastRenderedPageBreak/>
              <w:t>Penstrep</w:t>
            </w:r>
            <w:proofErr w:type="spellEnd"/>
            <w:r w:rsidRPr="003077D7">
              <w:rPr>
                <w:color w:val="000000"/>
              </w:rPr>
              <w:t xml:space="preserve"> </w:t>
            </w:r>
            <w:r w:rsidRPr="003077D7">
              <w:rPr>
                <w:color w:val="000000"/>
                <w:lang w:val="en-029"/>
              </w:rPr>
              <w:t>400</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7ED4E" w14:textId="77777777" w:rsidR="0024565D" w:rsidRPr="003077D7" w:rsidRDefault="0024565D" w:rsidP="00FD0B9C">
            <w:r w:rsidRPr="003077D7">
              <w:t>Natural penicillins</w:t>
            </w:r>
          </w:p>
          <w:p w14:paraId="3C03493E" w14:textId="1C343A68" w:rsidR="0024565D" w:rsidRPr="003077D7" w:rsidRDefault="0024565D" w:rsidP="00FD0B9C">
            <w:pPr>
              <w:rPr>
                <w:lang w:val="en-029"/>
              </w:rPr>
            </w:pPr>
            <w:r w:rsidRPr="003077D7">
              <w:rPr>
                <w:lang w:val="en-029"/>
              </w:rPr>
              <w:t>(antibiotic)</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8E0D7" w14:textId="77777777" w:rsidR="0024565D" w:rsidRPr="003077D7" w:rsidRDefault="0024565D" w:rsidP="00FD0B9C">
            <w:r w:rsidRPr="003077D7">
              <w:t>Procaine penicillin G</w:t>
            </w:r>
          </w:p>
          <w:p w14:paraId="2C87C577" w14:textId="77777777" w:rsidR="0024565D" w:rsidRPr="003077D7" w:rsidRDefault="0024565D" w:rsidP="00FD0B9C"/>
          <w:p w14:paraId="651D9FFF" w14:textId="2A019B35" w:rsidR="0024565D" w:rsidRPr="00257DA7" w:rsidRDefault="0024565D" w:rsidP="00FD0B9C">
            <w:pPr>
              <w:rPr>
                <w:lang w:val="en-029"/>
              </w:rPr>
            </w:pPr>
            <w:r w:rsidRPr="003077D7">
              <w:t>Dihydrostrepomycin</w:t>
            </w:r>
            <w:r>
              <w:rPr>
                <w:lang w:val="en-029"/>
              </w:rPr>
              <w:t xml:space="preserve"> sulfate</w:t>
            </w:r>
          </w:p>
        </w:tc>
        <w:tc>
          <w:tcPr>
            <w:tcW w:w="1800" w:type="dxa"/>
            <w:tcBorders>
              <w:top w:val="single" w:sz="8" w:space="0" w:color="000000"/>
              <w:left w:val="single" w:sz="8" w:space="0" w:color="000000"/>
              <w:bottom w:val="single" w:sz="8" w:space="0" w:color="000000"/>
              <w:right w:val="single" w:sz="8" w:space="0" w:color="000000"/>
            </w:tcBorders>
          </w:tcPr>
          <w:p w14:paraId="4CF60B87" w14:textId="6F0D7FDB" w:rsidR="0024565D" w:rsidRPr="003077D7" w:rsidRDefault="0024565D" w:rsidP="00FD0B9C">
            <w:r w:rsidRPr="003077D7">
              <w:rPr>
                <w:color w:val="262626"/>
                <w:shd w:val="clear" w:color="auto" w:fill="FFFFFF"/>
                <w:lang w:val="en-029"/>
              </w:rPr>
              <w:t>I</w:t>
            </w:r>
            <w:r w:rsidRPr="003077D7">
              <w:rPr>
                <w:color w:val="262626"/>
                <w:shd w:val="clear" w:color="auto" w:fill="FFFFFF"/>
              </w:rPr>
              <w:t>ntramuscular administration</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7C09A" w14:textId="4C267BF1" w:rsidR="0024565D" w:rsidRDefault="0024565D" w:rsidP="00FD0B9C">
            <w:pPr>
              <w:rPr>
                <w:lang w:val="en-029"/>
              </w:rPr>
            </w:pPr>
            <w:r w:rsidRPr="003077D7">
              <w:rPr>
                <w:color w:val="000000"/>
                <w:lang w:val="en-029"/>
              </w:rPr>
              <w:t>20,000 IU/Kg</w:t>
            </w:r>
          </w:p>
          <w:p w14:paraId="3C8FD6A0" w14:textId="691F100D" w:rsidR="0024565D" w:rsidRPr="003077D7" w:rsidRDefault="0024565D" w:rsidP="00FD0B9C">
            <w:r w:rsidRPr="003077D7">
              <w:rPr>
                <w:lang w:val="en-029"/>
              </w:rPr>
              <w:t>200,000 IU/ml</w:t>
            </w:r>
          </w:p>
        </w:tc>
        <w:tc>
          <w:tcPr>
            <w:tcW w:w="2157" w:type="dxa"/>
            <w:tcBorders>
              <w:top w:val="single" w:sz="8" w:space="0" w:color="000000"/>
              <w:left w:val="single" w:sz="8" w:space="0" w:color="000000"/>
              <w:bottom w:val="single" w:sz="8" w:space="0" w:color="000000"/>
              <w:right w:val="single" w:sz="8" w:space="0" w:color="000000"/>
            </w:tcBorders>
          </w:tcPr>
          <w:p w14:paraId="1C6C9824" w14:textId="7317A15C" w:rsidR="0024565D" w:rsidRPr="003077D7" w:rsidRDefault="003B452C" w:rsidP="00FD0B9C">
            <w:pPr>
              <w:rPr>
                <w:lang w:val="en-029"/>
              </w:rPr>
            </w:pPr>
            <w:r>
              <w:rPr>
                <w:lang w:val="en-029"/>
              </w:rPr>
              <w:t>350 kg X 20,000 IU/kg=7,000,000 IU/(200,000 IU/mL)=35 mL IM</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97B8F" w14:textId="79E68AED" w:rsidR="0024565D" w:rsidRPr="003077D7" w:rsidRDefault="0024565D" w:rsidP="00FD0B9C">
            <w:pPr>
              <w:rPr>
                <w:lang w:val="en-029"/>
              </w:rPr>
            </w:pPr>
            <w:r w:rsidRPr="003077D7">
              <w:rPr>
                <w:lang w:val="en-029"/>
              </w:rPr>
              <w:t>Prophylactic, small spectrum antibiotic for the treatment of infections such as arthritis, mastitis and gastrointestinal, respiratory and urinary tract infections caused by penicillin and dihydrostreptomycin sensitive micro-organisms, like Campylobacter, Clostridium, Corynebacterium, E. coli, Erysipelothrix, Haemophilus, Klebsiella, Listeria, Pasteurella, Salmonella, Staphylococcus and Streptococcus spp. in calves, cattle, goats, sheep and swine.</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467C1" w14:textId="77777777" w:rsidR="0024565D" w:rsidRPr="003077D7" w:rsidRDefault="0024565D" w:rsidP="00FD0B9C">
            <w:pPr>
              <w:rPr>
                <w:color w:val="262626"/>
                <w:shd w:val="clear" w:color="auto" w:fill="FFFFFF"/>
              </w:rPr>
            </w:pPr>
            <w:r w:rsidRPr="003077D7">
              <w:rPr>
                <w:color w:val="262626"/>
                <w:shd w:val="clear" w:color="auto" w:fill="FFFFFF"/>
                <w:lang w:val="en-029"/>
              </w:rPr>
              <w:t>Contradicted in patients with h</w:t>
            </w:r>
            <w:r w:rsidRPr="003077D7">
              <w:rPr>
                <w:color w:val="262626"/>
                <w:shd w:val="clear" w:color="auto" w:fill="FFFFFF"/>
              </w:rPr>
              <w:t>ypersensitivity to penicillins, procaine and/or aminoglycosides.</w:t>
            </w:r>
            <w:r w:rsidRPr="003077D7">
              <w:rPr>
                <w:color w:val="262626"/>
              </w:rPr>
              <w:br/>
            </w:r>
            <w:r w:rsidRPr="003077D7">
              <w:rPr>
                <w:color w:val="262626"/>
                <w:shd w:val="clear" w:color="auto" w:fill="FFFFFF"/>
              </w:rPr>
              <w:t>Administration to animals with a seriously impaired renal function.</w:t>
            </w:r>
            <w:r w:rsidRPr="003077D7">
              <w:rPr>
                <w:color w:val="262626"/>
              </w:rPr>
              <w:br/>
            </w:r>
            <w:r w:rsidRPr="003077D7">
              <w:rPr>
                <w:color w:val="262626"/>
                <w:shd w:val="clear" w:color="auto" w:fill="FFFFFF"/>
              </w:rPr>
              <w:t>Concurrent administration of tetracyclines, chloramphenicol, macrolides and lincosamides.</w:t>
            </w:r>
          </w:p>
          <w:p w14:paraId="42BFBE5E" w14:textId="77777777" w:rsidR="008644C6" w:rsidRDefault="008644C6" w:rsidP="00FD0B9C">
            <w:pPr>
              <w:rPr>
                <w:lang w:val="en-029"/>
              </w:rPr>
            </w:pPr>
            <w:r w:rsidRPr="008644C6">
              <w:rPr>
                <w:b/>
                <w:bCs/>
                <w:lang w:val="en-029"/>
              </w:rPr>
              <w:t>Withdrawal Times</w:t>
            </w:r>
            <w:r>
              <w:rPr>
                <w:lang w:val="en-029"/>
              </w:rPr>
              <w:t>:</w:t>
            </w:r>
          </w:p>
          <w:p w14:paraId="1E48C06B" w14:textId="76735CE5" w:rsidR="0024565D" w:rsidRPr="003077D7" w:rsidRDefault="0024565D" w:rsidP="00FD0B9C">
            <w:r w:rsidRPr="003077D7">
              <w:rPr>
                <w:lang w:val="en-029"/>
              </w:rPr>
              <w:t>-</w:t>
            </w:r>
            <w:r w:rsidRPr="003077D7">
              <w:t>For kidney: 45 days.</w:t>
            </w:r>
          </w:p>
          <w:p w14:paraId="680A8EED" w14:textId="77777777" w:rsidR="0024565D" w:rsidRPr="003077D7" w:rsidRDefault="0024565D" w:rsidP="00FD0B9C">
            <w:r w:rsidRPr="003077D7">
              <w:t>- For meat : 21 days.</w:t>
            </w:r>
          </w:p>
          <w:p w14:paraId="53760912" w14:textId="781A13EE" w:rsidR="0024565D" w:rsidRPr="003077D7" w:rsidRDefault="0024565D" w:rsidP="00FD0B9C">
            <w:r w:rsidRPr="003077D7">
              <w:t xml:space="preserve">- </w:t>
            </w:r>
            <w:r w:rsidRPr="003B452C">
              <w:rPr>
                <w:b/>
                <w:bCs/>
              </w:rPr>
              <w:t xml:space="preserve">For </w:t>
            </w:r>
            <w:proofErr w:type="gramStart"/>
            <w:r w:rsidRPr="003B452C">
              <w:rPr>
                <w:b/>
                <w:bCs/>
              </w:rPr>
              <w:t>milk :</w:t>
            </w:r>
            <w:proofErr w:type="gramEnd"/>
            <w:r w:rsidRPr="003B452C">
              <w:rPr>
                <w:b/>
                <w:bCs/>
              </w:rPr>
              <w:t xml:space="preserve"> 3 days</w:t>
            </w:r>
          </w:p>
        </w:tc>
      </w:tr>
      <w:tr w:rsidR="0024565D" w:rsidRPr="003077D7" w14:paraId="4A16A2F2" w14:textId="77777777" w:rsidTr="00935ECE">
        <w:tc>
          <w:tcPr>
            <w:tcW w:w="1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C40AC" w14:textId="265208EA" w:rsidR="0024565D" w:rsidRPr="003077D7" w:rsidRDefault="0024565D" w:rsidP="00FD0B9C">
            <w:pPr>
              <w:rPr>
                <w:lang w:val="en-029"/>
              </w:rPr>
            </w:pPr>
            <w:r w:rsidRPr="003077D7">
              <w:rPr>
                <w:color w:val="000000"/>
              </w:rPr>
              <w:t>Flunixin</w:t>
            </w:r>
            <w:r w:rsidRPr="003077D7">
              <w:rPr>
                <w:color w:val="000000"/>
                <w:lang w:val="en-029"/>
              </w:rPr>
              <w:t xml:space="preserve"> (Banamine)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9B910" w14:textId="1218C364" w:rsidR="0024565D" w:rsidRPr="003077D7" w:rsidRDefault="0024565D" w:rsidP="00FD0B9C">
            <w:r w:rsidRPr="003077D7">
              <w:t xml:space="preserve">cyclo-oxygenase inhibitory NSAID, long </w:t>
            </w:r>
            <w:r w:rsidRPr="003077D7">
              <w:lastRenderedPageBreak/>
              <w:t>lasting analgesic agent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D6597" w14:textId="53E4C3A9" w:rsidR="0024565D" w:rsidRPr="003077D7" w:rsidRDefault="0024565D" w:rsidP="00FD0B9C">
            <w:pPr>
              <w:rPr>
                <w:lang w:val="en-029"/>
              </w:rPr>
            </w:pPr>
            <w:r w:rsidRPr="003077D7">
              <w:rPr>
                <w:lang w:val="en-029"/>
              </w:rPr>
              <w:lastRenderedPageBreak/>
              <w:t>flunixin meglumine</w:t>
            </w:r>
          </w:p>
        </w:tc>
        <w:tc>
          <w:tcPr>
            <w:tcW w:w="1800" w:type="dxa"/>
            <w:tcBorders>
              <w:top w:val="single" w:sz="8" w:space="0" w:color="000000"/>
              <w:left w:val="single" w:sz="8" w:space="0" w:color="000000"/>
              <w:bottom w:val="single" w:sz="8" w:space="0" w:color="000000"/>
              <w:right w:val="single" w:sz="8" w:space="0" w:color="000000"/>
            </w:tcBorders>
          </w:tcPr>
          <w:p w14:paraId="2719BB0B" w14:textId="2901AF2C" w:rsidR="0024565D" w:rsidRPr="003077D7" w:rsidRDefault="0024565D" w:rsidP="00FD0B9C">
            <w:pPr>
              <w:rPr>
                <w:lang w:val="en-029"/>
              </w:rPr>
            </w:pPr>
            <w:r w:rsidRPr="003077D7">
              <w:rPr>
                <w:lang w:val="en-029"/>
              </w:rPr>
              <w:t>Intravenous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D63BF" w14:textId="7A5BCCD6" w:rsidR="0024565D" w:rsidRDefault="0024565D" w:rsidP="00FD0B9C">
            <w:pPr>
              <w:rPr>
                <w:lang w:val="en-029"/>
              </w:rPr>
            </w:pPr>
            <w:r w:rsidRPr="003077D7">
              <w:rPr>
                <w:lang w:val="en-029"/>
              </w:rPr>
              <w:t>1.1 mg/kg</w:t>
            </w:r>
          </w:p>
          <w:p w14:paraId="2EBF3656" w14:textId="25B907CF" w:rsidR="0024565D" w:rsidRPr="003077D7" w:rsidRDefault="0024565D" w:rsidP="00FD0B9C">
            <w:pPr>
              <w:rPr>
                <w:lang w:val="en-029"/>
              </w:rPr>
            </w:pPr>
            <w:r w:rsidRPr="003077D7">
              <w:rPr>
                <w:lang w:val="en-029"/>
              </w:rPr>
              <w:t>50 mg/ml</w:t>
            </w:r>
          </w:p>
        </w:tc>
        <w:tc>
          <w:tcPr>
            <w:tcW w:w="2157" w:type="dxa"/>
            <w:tcBorders>
              <w:top w:val="single" w:sz="8" w:space="0" w:color="000000"/>
              <w:left w:val="single" w:sz="8" w:space="0" w:color="000000"/>
              <w:bottom w:val="single" w:sz="8" w:space="0" w:color="000000"/>
              <w:right w:val="single" w:sz="8" w:space="0" w:color="000000"/>
            </w:tcBorders>
          </w:tcPr>
          <w:p w14:paraId="08668ABE" w14:textId="1D8DEADF" w:rsidR="0024565D" w:rsidRPr="003077D7" w:rsidRDefault="00516430" w:rsidP="00FD0B9C">
            <w:r>
              <w:t>350 kg X 1.1 mg/kg=385 mg</w:t>
            </w:r>
            <w:proofErr w:type="gramStart"/>
            <w:r>
              <w:t>/(</w:t>
            </w:r>
            <w:proofErr w:type="gramEnd"/>
            <w:r>
              <w:t>50 mg/mL)=7.7 mL IV</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09C49" w14:textId="0D15623E" w:rsidR="0024565D" w:rsidRPr="003077D7" w:rsidRDefault="0024565D" w:rsidP="00FD0B9C">
            <w:r w:rsidRPr="003077D7">
              <w:t xml:space="preserve">Horse: Flunixin Injection is recommended for the alleviation of </w:t>
            </w:r>
            <w:r w:rsidRPr="003077D7">
              <w:lastRenderedPageBreak/>
              <w:t>inflammation and pain associated with musculoskeletal disorders in the horse. It is also recommended for the alleviation of visceral pain associated with colic in the horse.</w:t>
            </w:r>
          </w:p>
          <w:p w14:paraId="16589E4C" w14:textId="77777777" w:rsidR="0024565D" w:rsidRPr="003077D7" w:rsidRDefault="0024565D" w:rsidP="00FD0B9C"/>
          <w:p w14:paraId="78944AF8" w14:textId="60BD9429" w:rsidR="0024565D" w:rsidRPr="003077D7" w:rsidRDefault="0024565D" w:rsidP="00FD0B9C">
            <w:r w:rsidRPr="003077D7">
              <w:t>Cattle: Flunixin Injection is indicated for the control of pyrexia associated with bovine respiratory disease, endotoxemia and acute bovine mastitis. Flunixin Injection is also indicated for the control of inflammation in endotoxemia.</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DA1E7" w14:textId="77777777" w:rsidR="0024565D" w:rsidRPr="003077D7" w:rsidRDefault="0024565D" w:rsidP="00FD0B9C">
            <w:pPr>
              <w:rPr>
                <w:lang w:val="en-029"/>
              </w:rPr>
            </w:pPr>
            <w:r w:rsidRPr="003077D7">
              <w:rPr>
                <w:lang w:val="en-029"/>
              </w:rPr>
              <w:lastRenderedPageBreak/>
              <w:t xml:space="preserve">no known contraindications to this drug in cattle or horses, do not use in animals showing </w:t>
            </w:r>
            <w:r w:rsidRPr="003077D7">
              <w:rPr>
                <w:lang w:val="en-029"/>
              </w:rPr>
              <w:lastRenderedPageBreak/>
              <w:t>hypersensitivity to flunixin meglumine.</w:t>
            </w:r>
          </w:p>
          <w:p w14:paraId="5A34EBA5" w14:textId="609501CF" w:rsidR="0024565D" w:rsidRPr="003077D7" w:rsidRDefault="0024565D" w:rsidP="00FD0B9C">
            <w:pPr>
              <w:rPr>
                <w:lang w:val="en-029"/>
              </w:rPr>
            </w:pPr>
            <w:r w:rsidRPr="008644C6">
              <w:rPr>
                <w:b/>
                <w:bCs/>
                <w:lang w:val="en-029"/>
              </w:rPr>
              <w:t>Withdrawal time</w:t>
            </w:r>
            <w:r w:rsidRPr="003077D7">
              <w:rPr>
                <w:lang w:val="en-029"/>
              </w:rPr>
              <w:t>:</w:t>
            </w:r>
          </w:p>
          <w:p w14:paraId="3FBB310D" w14:textId="34FB3CDF" w:rsidR="0024565D" w:rsidRPr="003077D7" w:rsidRDefault="0024565D" w:rsidP="00FD0B9C">
            <w:pPr>
              <w:rPr>
                <w:lang w:val="en-029"/>
              </w:rPr>
            </w:pPr>
            <w:r w:rsidRPr="003077D7">
              <w:rPr>
                <w:lang w:val="en-029"/>
              </w:rPr>
              <w:t>Meat-4 days</w:t>
            </w:r>
          </w:p>
          <w:p w14:paraId="6C0D021A" w14:textId="5F310933" w:rsidR="0024565D" w:rsidRPr="003B452C" w:rsidRDefault="0024565D" w:rsidP="00FD0B9C">
            <w:pPr>
              <w:rPr>
                <w:b/>
                <w:bCs/>
                <w:lang w:val="en-029"/>
              </w:rPr>
            </w:pPr>
            <w:r w:rsidRPr="003B452C">
              <w:rPr>
                <w:b/>
                <w:bCs/>
                <w:lang w:val="en-029"/>
              </w:rPr>
              <w:t>Milk-36 hours</w:t>
            </w:r>
          </w:p>
        </w:tc>
      </w:tr>
      <w:tr w:rsidR="0024565D" w:rsidRPr="003077D7" w14:paraId="5557DF18" w14:textId="77777777" w:rsidTr="00935ECE">
        <w:tc>
          <w:tcPr>
            <w:tcW w:w="1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076DA4" w14:textId="6DA076DD" w:rsidR="0024565D" w:rsidRPr="003077D7" w:rsidRDefault="0024565D" w:rsidP="00FD0B9C">
            <w:pPr>
              <w:rPr>
                <w:color w:val="000000"/>
                <w:lang w:val="en-029"/>
              </w:rPr>
            </w:pPr>
            <w:proofErr w:type="spellStart"/>
            <w:r>
              <w:rPr>
                <w:color w:val="000000"/>
                <w:lang w:val="en-029"/>
              </w:rPr>
              <w:t>Bactrovet</w:t>
            </w:r>
            <w:proofErr w:type="spellEnd"/>
            <w:r>
              <w:rPr>
                <w:color w:val="000000"/>
                <w:lang w:val="en-029"/>
              </w:rPr>
              <w:t xml:space="preserve"> silver AM</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5E7D9" w14:textId="585D73DB" w:rsidR="0024565D" w:rsidRPr="005F1783" w:rsidRDefault="0024565D" w:rsidP="00FD0B9C">
            <w:pPr>
              <w:rPr>
                <w:lang w:val="en-029"/>
              </w:rPr>
            </w:pPr>
            <w:r>
              <w:rPr>
                <w:lang w:val="en-029"/>
              </w:rPr>
              <w:t xml:space="preserve">Powder spray larvicide (repellent, bactericide, </w:t>
            </w:r>
            <w:r>
              <w:rPr>
                <w:lang w:val="en-029"/>
              </w:rPr>
              <w:lastRenderedPageBreak/>
              <w:t>antifungal, haemostatic)</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9C3D50" w14:textId="5FEBA1BC" w:rsidR="0024565D" w:rsidRPr="003077D7" w:rsidRDefault="0024565D" w:rsidP="00FD0B9C">
            <w:pPr>
              <w:rPr>
                <w:lang w:val="en-029"/>
              </w:rPr>
            </w:pPr>
            <w:r>
              <w:rPr>
                <w:lang w:val="en-029"/>
              </w:rPr>
              <w:lastRenderedPageBreak/>
              <w:t xml:space="preserve">Silver sulfadiazine, aluminium, excipient, </w:t>
            </w:r>
            <w:r>
              <w:rPr>
                <w:lang w:val="en-029"/>
              </w:rPr>
              <w:lastRenderedPageBreak/>
              <w:t>dimethyl dichlorovynil phosphate, cypermethrin, excipient.</w:t>
            </w:r>
          </w:p>
        </w:tc>
        <w:tc>
          <w:tcPr>
            <w:tcW w:w="1800" w:type="dxa"/>
            <w:tcBorders>
              <w:top w:val="single" w:sz="8" w:space="0" w:color="000000"/>
              <w:left w:val="single" w:sz="8" w:space="0" w:color="000000"/>
              <w:bottom w:val="single" w:sz="8" w:space="0" w:color="000000"/>
              <w:right w:val="single" w:sz="8" w:space="0" w:color="000000"/>
            </w:tcBorders>
          </w:tcPr>
          <w:p w14:paraId="6AE8DDFF" w14:textId="1D99917C" w:rsidR="0024565D" w:rsidRPr="003077D7" w:rsidRDefault="0024565D" w:rsidP="00FD0B9C">
            <w:pPr>
              <w:rPr>
                <w:lang w:val="en-029"/>
              </w:rPr>
            </w:pPr>
            <w:r>
              <w:rPr>
                <w:lang w:val="en-029"/>
              </w:rPr>
              <w:lastRenderedPageBreak/>
              <w:t>Topical</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995D1D" w14:textId="6FCB409C" w:rsidR="0024565D" w:rsidRPr="003077D7" w:rsidRDefault="0024565D" w:rsidP="00FD0B9C">
            <w:pPr>
              <w:rPr>
                <w:lang w:val="en-029"/>
              </w:rPr>
            </w:pPr>
            <w:r>
              <w:rPr>
                <w:lang w:val="en-029"/>
              </w:rPr>
              <w:t>nil</w:t>
            </w:r>
          </w:p>
        </w:tc>
        <w:tc>
          <w:tcPr>
            <w:tcW w:w="2157" w:type="dxa"/>
            <w:tcBorders>
              <w:top w:val="single" w:sz="8" w:space="0" w:color="000000"/>
              <w:left w:val="single" w:sz="8" w:space="0" w:color="000000"/>
              <w:bottom w:val="single" w:sz="8" w:space="0" w:color="000000"/>
              <w:right w:val="single" w:sz="8" w:space="0" w:color="000000"/>
            </w:tcBorders>
          </w:tcPr>
          <w:p w14:paraId="55EAAE3A" w14:textId="630DD36B" w:rsidR="0024565D" w:rsidRDefault="003F2B1E" w:rsidP="00FD0B9C">
            <w:pPr>
              <w:rPr>
                <w:lang w:val="en-029"/>
              </w:rPr>
            </w:pPr>
            <w:r>
              <w:rPr>
                <w:lang w:val="en-029"/>
              </w:rPr>
              <w:t>N/A</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A95F4D" w14:textId="60E54090" w:rsidR="0024565D" w:rsidRPr="004450D9" w:rsidRDefault="0024565D" w:rsidP="00FD0B9C">
            <w:pPr>
              <w:rPr>
                <w:lang w:val="en-029"/>
              </w:rPr>
            </w:pPr>
            <w:r>
              <w:rPr>
                <w:lang w:val="en-029"/>
              </w:rPr>
              <w:t xml:space="preserve">Prevention and curative of maggot wounds and use for antimicrobial, </w:t>
            </w:r>
            <w:r>
              <w:rPr>
                <w:lang w:val="en-029"/>
              </w:rPr>
              <w:lastRenderedPageBreak/>
              <w:t>haemostatic properties.</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B9C8C4" w14:textId="24748FA2" w:rsidR="0024565D" w:rsidRPr="003077D7" w:rsidRDefault="0024565D" w:rsidP="00FD0B9C">
            <w:pPr>
              <w:rPr>
                <w:lang w:val="en-029"/>
              </w:rPr>
            </w:pPr>
            <w:r>
              <w:rPr>
                <w:lang w:val="en-029"/>
              </w:rPr>
              <w:lastRenderedPageBreak/>
              <w:t>Used a</w:t>
            </w:r>
            <w:r w:rsidR="003F2B1E">
              <w:rPr>
                <w:lang w:val="en-029"/>
              </w:rPr>
              <w:t>s</w:t>
            </w:r>
            <w:r>
              <w:rPr>
                <w:lang w:val="en-029"/>
              </w:rPr>
              <w:t xml:space="preserve"> a topical to provide a protective film over the wound to promote healing, prevent fly strikes and stop bleeding.</w:t>
            </w:r>
          </w:p>
        </w:tc>
      </w:tr>
      <w:tr w:rsidR="00A13E2F" w:rsidRPr="003077D7" w14:paraId="6257CE04" w14:textId="77777777" w:rsidTr="00935ECE">
        <w:trPr>
          <w:trHeight w:val="1851"/>
        </w:trPr>
        <w:tc>
          <w:tcPr>
            <w:tcW w:w="1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B568E" w14:textId="528F3588" w:rsidR="00A13E2F" w:rsidRDefault="00A13E2F" w:rsidP="00FD0B9C">
            <w:pPr>
              <w:rPr>
                <w:color w:val="000000"/>
                <w:lang w:val="en-029"/>
              </w:rPr>
            </w:pPr>
            <w:r>
              <w:rPr>
                <w:color w:val="000000"/>
                <w:lang w:val="en-029"/>
              </w:rPr>
              <w:t xml:space="preserve">Atropine </w:t>
            </w:r>
            <w:proofErr w:type="spellStart"/>
            <w:r>
              <w:rPr>
                <w:color w:val="000000"/>
                <w:lang w:val="en-029"/>
              </w:rPr>
              <w:t>Sulfate</w:t>
            </w:r>
            <w:proofErr w:type="spellEnd"/>
            <w:r>
              <w:rPr>
                <w:color w:val="000000"/>
                <w:lang w:val="en-029"/>
              </w:rPr>
              <w:t xml:space="preserve"> (Ophthalmic drops)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24711C" w14:textId="03EE5E24" w:rsidR="00A13E2F" w:rsidRPr="00935ECE" w:rsidRDefault="00A13E2F" w:rsidP="00FD0B9C">
            <w:pPr>
              <w:rPr>
                <w:sz w:val="22"/>
                <w:szCs w:val="22"/>
                <w:lang w:val="en-029"/>
              </w:rPr>
            </w:pPr>
            <w:r w:rsidRPr="00935ECE">
              <w:rPr>
                <w:sz w:val="22"/>
                <w:szCs w:val="22"/>
                <w:lang w:val="en-029"/>
              </w:rPr>
              <w:t>Anticholinergic</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40BC0" w14:textId="54218A9E" w:rsidR="00A13E2F" w:rsidRDefault="00A13E2F" w:rsidP="00FD0B9C">
            <w:pPr>
              <w:rPr>
                <w:lang w:val="en-029"/>
              </w:rPr>
            </w:pPr>
            <w:r>
              <w:rPr>
                <w:lang w:val="en-029"/>
              </w:rPr>
              <w:t>Atropine 1%</w:t>
            </w:r>
          </w:p>
        </w:tc>
        <w:tc>
          <w:tcPr>
            <w:tcW w:w="1800" w:type="dxa"/>
            <w:tcBorders>
              <w:top w:val="single" w:sz="8" w:space="0" w:color="000000"/>
              <w:left w:val="single" w:sz="8" w:space="0" w:color="000000"/>
              <w:bottom w:val="single" w:sz="8" w:space="0" w:color="000000"/>
              <w:right w:val="single" w:sz="8" w:space="0" w:color="000000"/>
            </w:tcBorders>
          </w:tcPr>
          <w:p w14:paraId="2F1390A7" w14:textId="4FAE5CAD" w:rsidR="00A13E2F" w:rsidRDefault="00A13E2F" w:rsidP="00FD0B9C">
            <w:pPr>
              <w:rPr>
                <w:lang w:val="en-029"/>
              </w:rPr>
            </w:pPr>
            <w:r>
              <w:rPr>
                <w:lang w:val="en-029"/>
              </w:rPr>
              <w:t>Topical-ocular</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A13096" w14:textId="068379DD" w:rsidR="00A13E2F" w:rsidRPr="00935ECE" w:rsidRDefault="00B46BFD" w:rsidP="00DE0729">
            <w:pPr>
              <w:pStyle w:val="ListParagraph"/>
              <w:ind w:left="-94"/>
              <w:rPr>
                <w:lang w:val="en-029"/>
              </w:rPr>
            </w:pPr>
            <w:r w:rsidRPr="00935ECE">
              <w:rPr>
                <w:rStyle w:val="bodynoindent"/>
                <w:color w:val="333333"/>
                <w:shd w:val="clear" w:color="auto" w:fill="FFFFFF"/>
              </w:rPr>
              <w:t xml:space="preserve">1 drop </w:t>
            </w:r>
            <w:r w:rsidR="0001715B">
              <w:rPr>
                <w:rStyle w:val="bodynoindent"/>
                <w:color w:val="333333"/>
                <w:shd w:val="clear" w:color="auto" w:fill="FFFFFF"/>
              </w:rPr>
              <w:t xml:space="preserve">of </w:t>
            </w:r>
            <w:r w:rsidRPr="00935ECE">
              <w:rPr>
                <w:rStyle w:val="bodynoindent"/>
                <w:color w:val="333333"/>
                <w:shd w:val="clear" w:color="auto" w:fill="FFFFFF"/>
              </w:rPr>
              <w:t>atropine in affected eye(s) q 6–24 hr; then as needed</w:t>
            </w:r>
            <w:r>
              <w:rPr>
                <w:rStyle w:val="bodynoindent"/>
                <w:color w:val="333333"/>
                <w:shd w:val="clear" w:color="auto" w:fill="FFFFFF"/>
              </w:rPr>
              <w:t>; 10 mg/mL</w:t>
            </w:r>
          </w:p>
        </w:tc>
        <w:tc>
          <w:tcPr>
            <w:tcW w:w="2157" w:type="dxa"/>
            <w:tcBorders>
              <w:top w:val="single" w:sz="8" w:space="0" w:color="000000"/>
              <w:left w:val="single" w:sz="8" w:space="0" w:color="000000"/>
              <w:bottom w:val="single" w:sz="8" w:space="0" w:color="000000"/>
              <w:right w:val="single" w:sz="8" w:space="0" w:color="000000"/>
            </w:tcBorders>
          </w:tcPr>
          <w:p w14:paraId="6ED19CC4" w14:textId="159D5B65" w:rsidR="00A13E2F" w:rsidRDefault="00A13E2F" w:rsidP="00FD0B9C">
            <w:pPr>
              <w:rPr>
                <w:lang w:val="en-029"/>
              </w:rPr>
            </w:pPr>
            <w:r>
              <w:rPr>
                <w:lang w:val="en-029"/>
              </w:rPr>
              <w:t>N/A</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7322D" w14:textId="507667AF" w:rsidR="00935ECE" w:rsidRPr="00935ECE" w:rsidRDefault="00935ECE" w:rsidP="00935ECE">
            <w:pPr>
              <w:spacing w:after="160" w:line="259" w:lineRule="auto"/>
            </w:pPr>
            <w:r w:rsidRPr="00935ECE">
              <w:rPr>
                <w:rStyle w:val="bodynoindent"/>
                <w:color w:val="333333"/>
                <w:shd w:val="clear" w:color="auto" w:fill="FFFFFF"/>
              </w:rPr>
              <w:t>Mydriasis and Cycloplegia</w:t>
            </w:r>
            <w:r>
              <w:t xml:space="preserve">: </w:t>
            </w:r>
            <w:r w:rsidRPr="00935ECE">
              <w:rPr>
                <w:rStyle w:val="bodynoindent"/>
                <w:color w:val="333333"/>
                <w:shd w:val="clear" w:color="auto" w:fill="FFFFFF"/>
              </w:rPr>
              <w:t>to maintain pupillary dilation</w:t>
            </w:r>
          </w:p>
          <w:p w14:paraId="7A7806D5" w14:textId="77777777" w:rsidR="00A13E2F" w:rsidRDefault="00A13E2F" w:rsidP="00FD0B9C">
            <w:pPr>
              <w:rPr>
                <w:lang w:val="en-029"/>
              </w:rPr>
            </w:pP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9F4254" w14:textId="2E6B8990" w:rsidR="008644C6" w:rsidRDefault="00B46BFD" w:rsidP="008644C6">
            <w:r w:rsidRPr="00B46BFD">
              <w:rPr>
                <w:rStyle w:val="bodynoindent"/>
                <w:color w:val="333333"/>
                <w:shd w:val="clear" w:color="auto" w:fill="FFFFFF"/>
              </w:rPr>
              <w:t xml:space="preserve">Contraindicated in presence of increased intraocular pressure from acute angle </w:t>
            </w:r>
            <w:r w:rsidRPr="00B46BFD">
              <w:rPr>
                <w:rStyle w:val="bodynoindent"/>
                <w:color w:val="333333"/>
                <w:shd w:val="clear" w:color="auto" w:fill="FFFFFF"/>
              </w:rPr>
              <w:t>glaucoma because</w:t>
            </w:r>
            <w:r w:rsidRPr="00B46BFD">
              <w:rPr>
                <w:rStyle w:val="bodynoindent"/>
                <w:color w:val="333333"/>
                <w:shd w:val="clear" w:color="auto" w:fill="FFFFFF"/>
              </w:rPr>
              <w:t xml:space="preserve"> </w:t>
            </w:r>
            <w:r w:rsidRPr="00B46BFD">
              <w:rPr>
                <w:rStyle w:val="bodynoindent"/>
                <w:color w:val="333333"/>
                <w:shd w:val="clear" w:color="auto" w:fill="FFFFFF"/>
              </w:rPr>
              <w:t>mydriasis</w:t>
            </w:r>
            <w:r w:rsidRPr="00B46BFD">
              <w:rPr>
                <w:rStyle w:val="bodynoindent"/>
                <w:color w:val="333333"/>
                <w:shd w:val="clear" w:color="auto" w:fill="FFFFFF"/>
              </w:rPr>
              <w:t xml:space="preserve"> will further </w:t>
            </w:r>
            <w:r>
              <w:rPr>
                <w:rStyle w:val="bodynoindent"/>
                <w:color w:val="333333"/>
                <w:shd w:val="clear" w:color="auto" w:fill="FFFFFF"/>
              </w:rPr>
              <w:t>stop</w:t>
            </w:r>
            <w:r w:rsidRPr="00B46BFD">
              <w:rPr>
                <w:rStyle w:val="bodynoindent"/>
                <w:color w:val="333333"/>
                <w:shd w:val="clear" w:color="auto" w:fill="FFFFFF"/>
              </w:rPr>
              <w:t xml:space="preserve"> drainage of anterior chamber</w:t>
            </w:r>
            <w:r>
              <w:t xml:space="preserve">. </w:t>
            </w:r>
            <w:r w:rsidRPr="00B46BFD">
              <w:rPr>
                <w:rStyle w:val="bodynoindent"/>
                <w:color w:val="333333"/>
                <w:shd w:val="clear" w:color="auto" w:fill="FFFFFF"/>
              </w:rPr>
              <w:t xml:space="preserve">Some urge caution with use in equines, </w:t>
            </w:r>
            <w:r>
              <w:rPr>
                <w:rStyle w:val="bodynoindent"/>
                <w:color w:val="333333"/>
                <w:shd w:val="clear" w:color="auto" w:fill="FFFFFF"/>
              </w:rPr>
              <w:t>although</w:t>
            </w:r>
            <w:r w:rsidRPr="00B46BFD">
              <w:rPr>
                <w:rStyle w:val="bodynoindent"/>
                <w:color w:val="333333"/>
                <w:shd w:val="clear" w:color="auto" w:fill="FFFFFF"/>
              </w:rPr>
              <w:t xml:space="preserve"> recent evidence</w:t>
            </w:r>
            <w:r w:rsidR="008644C6">
              <w:rPr>
                <w:rStyle w:val="bodynoindent"/>
                <w:color w:val="333333"/>
                <w:shd w:val="clear" w:color="auto" w:fill="FFFFFF"/>
              </w:rPr>
              <w:t xml:space="preserve"> </w:t>
            </w:r>
            <w:r w:rsidRPr="00B46BFD">
              <w:rPr>
                <w:rStyle w:val="bodynoindent"/>
                <w:color w:val="333333"/>
                <w:shd w:val="clear" w:color="auto" w:fill="FFFFFF"/>
              </w:rPr>
              <w:t>suggests that topical application of ophthalmic atropine does not induce ileus in healthy horses</w:t>
            </w:r>
            <w:r w:rsidR="008644C6">
              <w:rPr>
                <w:rStyle w:val="bodynoindent"/>
                <w:color w:val="333333"/>
                <w:shd w:val="clear" w:color="auto" w:fill="FFFFFF"/>
              </w:rPr>
              <w:t xml:space="preserve">; </w:t>
            </w:r>
            <w:r w:rsidR="008644C6" w:rsidRPr="008644C6">
              <w:rPr>
                <w:rStyle w:val="bodynoindent"/>
                <w:b/>
                <w:bCs/>
                <w:color w:val="333333"/>
                <w:shd w:val="clear" w:color="auto" w:fill="FFFFFF"/>
              </w:rPr>
              <w:t xml:space="preserve">Withdrawal </w:t>
            </w:r>
            <w:proofErr w:type="spellStart"/>
            <w:r w:rsidR="008644C6" w:rsidRPr="008644C6">
              <w:rPr>
                <w:rStyle w:val="bodynoindent"/>
                <w:b/>
                <w:bCs/>
                <w:color w:val="333333"/>
                <w:shd w:val="clear" w:color="auto" w:fill="FFFFFF"/>
              </w:rPr>
              <w:t>time</w:t>
            </w:r>
            <w:proofErr w:type="spellEnd"/>
            <w:r w:rsidR="008644C6">
              <w:rPr>
                <w:rStyle w:val="bodynoindent"/>
                <w:color w:val="333333"/>
                <w:shd w:val="clear" w:color="auto" w:fill="FFFFFF"/>
              </w:rPr>
              <w:t xml:space="preserve">: In the U.S. and U.K., </w:t>
            </w:r>
            <w:r w:rsidR="008644C6" w:rsidRPr="008644C6">
              <w:rPr>
                <w:color w:val="333333"/>
                <w:shd w:val="clear" w:color="auto" w:fill="FFFFFF"/>
              </w:rPr>
              <w:t>no established withholding times; not approved for use in food-producing animals</w:t>
            </w:r>
            <w:r w:rsidR="0001715B">
              <w:rPr>
                <w:color w:val="333333"/>
                <w:shd w:val="clear" w:color="auto" w:fill="FFFFFF"/>
              </w:rPr>
              <w:t>.</w:t>
            </w:r>
          </w:p>
          <w:p w14:paraId="645589F0" w14:textId="7DC0797D" w:rsidR="00B46BFD" w:rsidRPr="00B46BFD" w:rsidRDefault="00B46BFD" w:rsidP="00B46BFD">
            <w:pPr>
              <w:shd w:val="clear" w:color="auto" w:fill="FFFFFF"/>
              <w:spacing w:beforeAutospacing="1" w:afterAutospacing="1"/>
              <w:ind w:left="-99"/>
              <w:rPr>
                <w:color w:val="333333"/>
              </w:rPr>
            </w:pPr>
          </w:p>
          <w:p w14:paraId="69AB0E7D" w14:textId="77777777" w:rsidR="00A13E2F" w:rsidRDefault="00A13E2F" w:rsidP="00FD0B9C">
            <w:pPr>
              <w:rPr>
                <w:lang w:val="en-029"/>
              </w:rPr>
            </w:pPr>
          </w:p>
        </w:tc>
      </w:tr>
      <w:tr w:rsidR="00A13E2F" w:rsidRPr="003077D7" w14:paraId="07C4B00E" w14:textId="77777777" w:rsidTr="00935ECE">
        <w:trPr>
          <w:trHeight w:val="1851"/>
        </w:trPr>
        <w:tc>
          <w:tcPr>
            <w:tcW w:w="1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8A0D51" w14:textId="3B57FAE6" w:rsidR="00A13E2F" w:rsidRDefault="00A13E2F" w:rsidP="00FD0B9C">
            <w:pPr>
              <w:rPr>
                <w:color w:val="000000"/>
                <w:lang w:val="en-029"/>
              </w:rPr>
            </w:pPr>
            <w:r>
              <w:rPr>
                <w:color w:val="000000"/>
                <w:lang w:val="en-029"/>
              </w:rPr>
              <w:lastRenderedPageBreak/>
              <w:t>Triple Antibiotic (Ophthalmic ointment)</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2D9ED0" w14:textId="19294182" w:rsidR="00A13E2F" w:rsidRDefault="00A13E2F" w:rsidP="00FD0B9C">
            <w:pPr>
              <w:rPr>
                <w:lang w:val="en-029"/>
              </w:rPr>
            </w:pPr>
            <w:r>
              <w:rPr>
                <w:lang w:val="en-029"/>
              </w:rPr>
              <w:t>Antibiotics</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CCC03" w14:textId="77777777" w:rsidR="0001715B" w:rsidRPr="0001715B" w:rsidRDefault="0001715B" w:rsidP="0001715B">
            <w:r w:rsidRPr="0001715B">
              <w:rPr>
                <w:color w:val="333333"/>
                <w:shd w:val="clear" w:color="auto" w:fill="FFFFFF"/>
              </w:rPr>
              <w:t>Bacitracin zinc-Neomycin sulfate-Polymyxin B sulfate ophthalmic ointment</w:t>
            </w:r>
          </w:p>
          <w:p w14:paraId="183268DB" w14:textId="76A2BD80" w:rsidR="00A13E2F" w:rsidRDefault="00A13E2F" w:rsidP="00FD0B9C">
            <w:pPr>
              <w:rPr>
                <w:lang w:val="en-029"/>
              </w:rPr>
            </w:pPr>
          </w:p>
        </w:tc>
        <w:tc>
          <w:tcPr>
            <w:tcW w:w="1800" w:type="dxa"/>
            <w:tcBorders>
              <w:top w:val="single" w:sz="8" w:space="0" w:color="000000"/>
              <w:left w:val="single" w:sz="8" w:space="0" w:color="000000"/>
              <w:bottom w:val="single" w:sz="8" w:space="0" w:color="000000"/>
              <w:right w:val="single" w:sz="8" w:space="0" w:color="000000"/>
            </w:tcBorders>
          </w:tcPr>
          <w:p w14:paraId="60ED647C" w14:textId="719A6259" w:rsidR="00A13E2F" w:rsidRDefault="00A13E2F" w:rsidP="00FD0B9C">
            <w:pPr>
              <w:rPr>
                <w:lang w:val="en-029"/>
              </w:rPr>
            </w:pPr>
            <w:r>
              <w:rPr>
                <w:lang w:val="en-029"/>
              </w:rPr>
              <w:t>Topical Ointment</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5CB7A" w14:textId="450514F3" w:rsidR="0001715B" w:rsidRPr="00DD1B5A" w:rsidRDefault="00A13E2F" w:rsidP="0001715B">
            <w:r w:rsidRPr="0001715B">
              <w:rPr>
                <w:lang w:val="en-029"/>
              </w:rPr>
              <w:t xml:space="preserve"> </w:t>
            </w:r>
            <w:r w:rsidR="00DD1B5A" w:rsidRPr="00DD1B5A">
              <w:rPr>
                <w:color w:val="333333"/>
                <w:shd w:val="clear" w:color="auto" w:fill="FFFFFF"/>
              </w:rPr>
              <w:t>Apply a thin film over cornea or into conjunctival sac q 6–12 hr</w:t>
            </w:r>
            <w:r w:rsidR="00DD1B5A">
              <w:rPr>
                <w:lang w:val="en-029"/>
              </w:rPr>
              <w:t xml:space="preserve">; </w:t>
            </w:r>
            <w:r w:rsidR="0001715B" w:rsidRPr="0001715B">
              <w:rPr>
                <w:color w:val="000000" w:themeColor="text1"/>
                <w:shd w:val="clear" w:color="auto" w:fill="FFFFFF"/>
              </w:rPr>
              <w:t>3.5 mg/g neomycin (as neomycin sulfate), 10,000 IU/g polymyxin B sulfate, 400 IU/g bacitracin zinc ophthalmic ointment</w:t>
            </w:r>
            <w:r w:rsidR="0001715B">
              <w:rPr>
                <w:color w:val="000000" w:themeColor="text1"/>
                <w:shd w:val="clear" w:color="auto" w:fill="FFFFFF"/>
              </w:rPr>
              <w:t xml:space="preserve"> </w:t>
            </w:r>
          </w:p>
          <w:p w14:paraId="0E34DB77" w14:textId="0C6BB0D6" w:rsidR="00A13E2F" w:rsidRDefault="00A13E2F" w:rsidP="00FD0B9C">
            <w:pPr>
              <w:rPr>
                <w:lang w:val="en-029"/>
              </w:rPr>
            </w:pPr>
          </w:p>
        </w:tc>
        <w:tc>
          <w:tcPr>
            <w:tcW w:w="2157" w:type="dxa"/>
            <w:tcBorders>
              <w:top w:val="single" w:sz="8" w:space="0" w:color="000000"/>
              <w:left w:val="single" w:sz="8" w:space="0" w:color="000000"/>
              <w:bottom w:val="single" w:sz="8" w:space="0" w:color="000000"/>
              <w:right w:val="single" w:sz="8" w:space="0" w:color="000000"/>
            </w:tcBorders>
          </w:tcPr>
          <w:p w14:paraId="1CD425B8" w14:textId="2616CD31" w:rsidR="00A13E2F" w:rsidRDefault="00A13E2F" w:rsidP="00FD0B9C">
            <w:pPr>
              <w:rPr>
                <w:lang w:val="en-029"/>
              </w:rPr>
            </w:pPr>
            <w:r>
              <w:rPr>
                <w:lang w:val="en-029"/>
              </w:rPr>
              <w:t>N/A</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0FFB9D" w14:textId="77777777" w:rsidR="0001715B" w:rsidRPr="0001715B" w:rsidRDefault="0001715B" w:rsidP="0001715B">
            <w:r w:rsidRPr="0001715B">
              <w:rPr>
                <w:color w:val="333333"/>
                <w:shd w:val="clear" w:color="auto" w:fill="FFFFFF"/>
              </w:rPr>
              <w:t>Treatment of acute or chronic conjunctivitis caused by susceptible bacteria</w:t>
            </w:r>
          </w:p>
          <w:p w14:paraId="11B7D43F" w14:textId="77777777" w:rsidR="00A13E2F" w:rsidRDefault="00A13E2F" w:rsidP="00FD0B9C">
            <w:pPr>
              <w:rPr>
                <w:lang w:val="en-029"/>
              </w:rPr>
            </w:pP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F1CF97" w14:textId="7F083B3C" w:rsidR="0001715B" w:rsidRDefault="0001715B" w:rsidP="0001715B">
            <w:r w:rsidRPr="0001715B">
              <w:rPr>
                <w:color w:val="333333"/>
                <w:shd w:val="clear" w:color="auto" w:fill="FFFFFF"/>
              </w:rPr>
              <w:t>Carefully remove foreign bodies, crusts, exudates, and debris prior to administration</w:t>
            </w:r>
            <w:r>
              <w:rPr>
                <w:color w:val="333333"/>
                <w:shd w:val="clear" w:color="auto" w:fill="FFFFFF"/>
              </w:rPr>
              <w:t xml:space="preserve">; </w:t>
            </w:r>
            <w:r w:rsidRPr="0001715B">
              <w:rPr>
                <w:rStyle w:val="bodynoindent"/>
                <w:color w:val="333333"/>
                <w:shd w:val="clear" w:color="auto" w:fill="FFFFFF"/>
              </w:rPr>
              <w:t>Serious, potentially life-threatening anaphylactic events have been reported in cats within 4 hr of ophthalmic administration of antibiotic-containing ophthalmic preparations; polymyxin B was present in the drugs used in all cases</w:t>
            </w:r>
            <w:bookmarkStart w:id="0" w:name="JumpDrugsincluded"/>
            <w:bookmarkEnd w:id="0"/>
            <w:r>
              <w:t xml:space="preserve">; </w:t>
            </w:r>
            <w:r w:rsidRPr="008644C6">
              <w:rPr>
                <w:rStyle w:val="bodynoindent"/>
                <w:b/>
                <w:bCs/>
                <w:color w:val="333333"/>
                <w:shd w:val="clear" w:color="auto" w:fill="FFFFFF"/>
              </w:rPr>
              <w:t>Withdrawal time</w:t>
            </w:r>
            <w:r>
              <w:rPr>
                <w:rStyle w:val="bodynoindent"/>
                <w:color w:val="333333"/>
                <w:shd w:val="clear" w:color="auto" w:fill="FFFFFF"/>
              </w:rPr>
              <w:t xml:space="preserve">: In the U.S. and U.K., </w:t>
            </w:r>
            <w:r w:rsidRPr="008644C6">
              <w:rPr>
                <w:color w:val="333333"/>
                <w:shd w:val="clear" w:color="auto" w:fill="FFFFFF"/>
              </w:rPr>
              <w:t>no established withholding times; not approved for use in food-producing animals</w:t>
            </w:r>
            <w:r w:rsidR="00DD1B5A">
              <w:rPr>
                <w:color w:val="333333"/>
                <w:shd w:val="clear" w:color="auto" w:fill="FFFFFF"/>
              </w:rPr>
              <w:t>.</w:t>
            </w:r>
          </w:p>
          <w:p w14:paraId="5456248A" w14:textId="77777777" w:rsidR="00A13E2F" w:rsidRDefault="00A13E2F" w:rsidP="00FD0B9C">
            <w:pPr>
              <w:rPr>
                <w:lang w:val="en-029"/>
              </w:rPr>
            </w:pPr>
          </w:p>
        </w:tc>
      </w:tr>
      <w:tr w:rsidR="00A13E2F" w:rsidRPr="003077D7" w14:paraId="44FBB931" w14:textId="77777777" w:rsidTr="00935ECE">
        <w:trPr>
          <w:trHeight w:val="1851"/>
        </w:trPr>
        <w:tc>
          <w:tcPr>
            <w:tcW w:w="1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90AE6E" w14:textId="2D53E844" w:rsidR="00A13E2F" w:rsidRDefault="00A13E2F" w:rsidP="00FD0B9C">
            <w:pPr>
              <w:rPr>
                <w:color w:val="000000"/>
                <w:lang w:val="en-029"/>
              </w:rPr>
            </w:pPr>
            <w:r>
              <w:rPr>
                <w:color w:val="000000"/>
                <w:lang w:val="en-029"/>
              </w:rPr>
              <w:t>Proparacaine</w:t>
            </w:r>
            <w:r w:rsidR="00516430">
              <w:rPr>
                <w:color w:val="000000"/>
                <w:lang w:val="en-029"/>
              </w:rPr>
              <w:t xml:space="preserve"> </w:t>
            </w:r>
            <w:r w:rsidR="00DD1B5A">
              <w:rPr>
                <w:color w:val="000000"/>
                <w:lang w:val="en-029"/>
              </w:rPr>
              <w:t xml:space="preserve">HCl </w:t>
            </w:r>
            <w:r w:rsidR="00516430">
              <w:rPr>
                <w:color w:val="000000"/>
                <w:lang w:val="en-029"/>
              </w:rPr>
              <w:t>(Ophthalmic drops)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8086B4" w14:textId="7C409162" w:rsidR="00A13E2F" w:rsidRDefault="00516430" w:rsidP="00FD0B9C">
            <w:pPr>
              <w:rPr>
                <w:lang w:val="en-029"/>
              </w:rPr>
            </w:pPr>
            <w:r>
              <w:rPr>
                <w:lang w:val="en-029"/>
              </w:rPr>
              <w:t>Local Analgesic</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BC91F0" w14:textId="5C90C182" w:rsidR="00A13E2F" w:rsidRDefault="00516430" w:rsidP="00FD0B9C">
            <w:pPr>
              <w:rPr>
                <w:lang w:val="en-029"/>
              </w:rPr>
            </w:pPr>
            <w:r>
              <w:rPr>
                <w:lang w:val="en-029"/>
              </w:rPr>
              <w:t xml:space="preserve">Proparacaine </w:t>
            </w:r>
            <w:r w:rsidR="00DD1B5A">
              <w:rPr>
                <w:lang w:val="en-029"/>
              </w:rPr>
              <w:t>0.5</w:t>
            </w:r>
            <w:r>
              <w:rPr>
                <w:lang w:val="en-029"/>
              </w:rPr>
              <w:t>%</w:t>
            </w:r>
          </w:p>
        </w:tc>
        <w:tc>
          <w:tcPr>
            <w:tcW w:w="1800" w:type="dxa"/>
            <w:tcBorders>
              <w:top w:val="single" w:sz="8" w:space="0" w:color="000000"/>
              <w:left w:val="single" w:sz="8" w:space="0" w:color="000000"/>
              <w:bottom w:val="single" w:sz="8" w:space="0" w:color="000000"/>
              <w:right w:val="single" w:sz="8" w:space="0" w:color="000000"/>
            </w:tcBorders>
          </w:tcPr>
          <w:p w14:paraId="78378943" w14:textId="0E46253C" w:rsidR="00A13E2F" w:rsidRDefault="00516430" w:rsidP="00FD0B9C">
            <w:pPr>
              <w:rPr>
                <w:lang w:val="en-029"/>
              </w:rPr>
            </w:pPr>
            <w:r>
              <w:rPr>
                <w:lang w:val="en-029"/>
              </w:rPr>
              <w:t>Topical ophthalmic analgesic drops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99D0D2" w14:textId="6083801F" w:rsidR="00A13E2F" w:rsidRDefault="00DD1B5A" w:rsidP="00DD1B5A">
            <w:pPr>
              <w:rPr>
                <w:lang w:val="en-029"/>
              </w:rPr>
            </w:pPr>
            <w:r w:rsidRPr="00DD1B5A">
              <w:rPr>
                <w:color w:val="333333"/>
                <w:shd w:val="clear" w:color="auto" w:fill="FFFFFF"/>
              </w:rPr>
              <w:t>3–5 drops to eye;</w:t>
            </w:r>
            <w:r>
              <w:rPr>
                <w:lang w:val="en-029"/>
              </w:rPr>
              <w:t xml:space="preserve"> 5 </w:t>
            </w:r>
            <w:r w:rsidR="00516430">
              <w:rPr>
                <w:lang w:val="en-029"/>
              </w:rPr>
              <w:t>mg/mL</w:t>
            </w:r>
          </w:p>
        </w:tc>
        <w:tc>
          <w:tcPr>
            <w:tcW w:w="2157" w:type="dxa"/>
            <w:tcBorders>
              <w:top w:val="single" w:sz="8" w:space="0" w:color="000000"/>
              <w:left w:val="single" w:sz="8" w:space="0" w:color="000000"/>
              <w:bottom w:val="single" w:sz="8" w:space="0" w:color="000000"/>
              <w:right w:val="single" w:sz="8" w:space="0" w:color="000000"/>
            </w:tcBorders>
          </w:tcPr>
          <w:p w14:paraId="78ECB6F7" w14:textId="49019474" w:rsidR="00A13E2F" w:rsidRDefault="00516430" w:rsidP="00FD0B9C">
            <w:pPr>
              <w:rPr>
                <w:lang w:val="en-029"/>
              </w:rPr>
            </w:pPr>
            <w:r>
              <w:rPr>
                <w:lang w:val="en-029"/>
              </w:rPr>
              <w:t>N/A</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42827" w14:textId="77777777" w:rsidR="00A13E2F" w:rsidRDefault="00A13E2F" w:rsidP="00FD0B9C">
            <w:pPr>
              <w:rPr>
                <w:lang w:val="en-029"/>
              </w:rPr>
            </w:pP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9AA196" w14:textId="07CD503A" w:rsidR="00DD1B5A" w:rsidRDefault="00DD1B5A" w:rsidP="00DD1B5A">
            <w:pPr>
              <w:rPr>
                <w:color w:val="333333"/>
                <w:shd w:val="clear" w:color="auto" w:fill="FFFFFF"/>
              </w:rPr>
            </w:pPr>
            <w:r w:rsidRPr="00DD1B5A">
              <w:rPr>
                <w:color w:val="333333"/>
              </w:rPr>
              <w:t>Proparacaine can decrease intraocular pressure within 10 min of administration; this effect should be taken into consideration when evaluating diagnostic intraocular pressure measurements</w:t>
            </w:r>
            <w:r w:rsidRPr="00DD1B5A">
              <w:rPr>
                <w:color w:val="333333"/>
              </w:rPr>
              <w:t xml:space="preserve">; </w:t>
            </w:r>
            <w:r w:rsidRPr="00DD1B5A">
              <w:rPr>
                <w:color w:val="333333"/>
              </w:rPr>
              <w:t>Topical ophthalmic anesthetics decrease tear production so will interfere with Schirmer tear testing should be performed prior to application of proparacaine</w:t>
            </w:r>
            <w:r>
              <w:rPr>
                <w:color w:val="333333"/>
              </w:rPr>
              <w:t xml:space="preserve">; </w:t>
            </w:r>
            <w:r w:rsidRPr="00DD1B5A">
              <w:rPr>
                <w:color w:val="333333"/>
                <w:shd w:val="clear" w:color="auto" w:fill="FFFFFF"/>
              </w:rPr>
              <w:t>P</w:t>
            </w:r>
            <w:r w:rsidRPr="00DD1B5A">
              <w:rPr>
                <w:color w:val="333333"/>
                <w:shd w:val="clear" w:color="auto" w:fill="FFFFFF"/>
              </w:rPr>
              <w:t>rolonged use may delay wound healing</w:t>
            </w:r>
            <w:r>
              <w:rPr>
                <w:color w:val="333333"/>
                <w:shd w:val="clear" w:color="auto" w:fill="FFFFFF"/>
              </w:rPr>
              <w:t xml:space="preserve">; </w:t>
            </w:r>
            <w:r w:rsidRPr="00DD1B5A">
              <w:rPr>
                <w:color w:val="333333"/>
                <w:shd w:val="clear" w:color="auto" w:fill="FFFFFF"/>
              </w:rPr>
              <w:lastRenderedPageBreak/>
              <w:t>Unknown if proparacaine is excreted in milk</w:t>
            </w:r>
          </w:p>
          <w:p w14:paraId="03AC88E8" w14:textId="0E1256EB" w:rsidR="00DD1B5A" w:rsidRDefault="00DD1B5A" w:rsidP="00DD1B5A">
            <w:r w:rsidRPr="008644C6">
              <w:rPr>
                <w:rStyle w:val="bodynoindent"/>
                <w:b/>
                <w:bCs/>
                <w:color w:val="333333"/>
                <w:shd w:val="clear" w:color="auto" w:fill="FFFFFF"/>
              </w:rPr>
              <w:t>Withdrawal time</w:t>
            </w:r>
            <w:r>
              <w:rPr>
                <w:rStyle w:val="bodynoindent"/>
                <w:color w:val="333333"/>
                <w:shd w:val="clear" w:color="auto" w:fill="FFFFFF"/>
              </w:rPr>
              <w:t xml:space="preserve">: In U.K., </w:t>
            </w:r>
            <w:r w:rsidRPr="008644C6">
              <w:rPr>
                <w:color w:val="333333"/>
                <w:shd w:val="clear" w:color="auto" w:fill="FFFFFF"/>
              </w:rPr>
              <w:t>no established withholding times; not approved for use in food-producing animals</w:t>
            </w:r>
            <w:r>
              <w:rPr>
                <w:color w:val="333333"/>
                <w:shd w:val="clear" w:color="auto" w:fill="FFFFFF"/>
              </w:rPr>
              <w:t>; In U.S. no information found per VIN.</w:t>
            </w:r>
          </w:p>
          <w:p w14:paraId="6A8B78F7" w14:textId="77777777" w:rsidR="00DD1B5A" w:rsidRDefault="00DD1B5A" w:rsidP="00DD1B5A">
            <w:pPr>
              <w:rPr>
                <w:color w:val="333333"/>
                <w:shd w:val="clear" w:color="auto" w:fill="FFFFFF"/>
              </w:rPr>
            </w:pPr>
          </w:p>
          <w:p w14:paraId="00E8ABAE" w14:textId="0635D1B6" w:rsidR="00DD1B5A" w:rsidRPr="00DD1B5A" w:rsidRDefault="00DD1B5A" w:rsidP="00DD1B5A">
            <w:pPr>
              <w:numPr>
                <w:ilvl w:val="0"/>
                <w:numId w:val="6"/>
              </w:numPr>
              <w:shd w:val="clear" w:color="auto" w:fill="FFFFFF"/>
              <w:spacing w:before="100" w:beforeAutospacing="1" w:after="100" w:afterAutospacing="1"/>
              <w:ind w:left="-99"/>
              <w:rPr>
                <w:color w:val="333333"/>
              </w:rPr>
            </w:pPr>
          </w:p>
          <w:p w14:paraId="67F534E9" w14:textId="77777777" w:rsidR="00A13E2F" w:rsidRPr="00DD1B5A" w:rsidRDefault="00A13E2F" w:rsidP="00FD0B9C">
            <w:pPr>
              <w:rPr>
                <w:lang w:val="en-029"/>
              </w:rPr>
            </w:pPr>
          </w:p>
        </w:tc>
      </w:tr>
      <w:tr w:rsidR="0024565D" w:rsidRPr="003077D7" w14:paraId="321F043A" w14:textId="77777777" w:rsidTr="00935ECE">
        <w:tc>
          <w:tcPr>
            <w:tcW w:w="1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1D6860" w14:textId="105FF038" w:rsidR="0024565D" w:rsidRDefault="0024565D" w:rsidP="00FD0B9C">
            <w:pPr>
              <w:rPr>
                <w:color w:val="000000"/>
                <w:lang w:val="en-029"/>
              </w:rPr>
            </w:pPr>
            <w:r>
              <w:rPr>
                <w:color w:val="000000"/>
                <w:lang w:val="en-029"/>
              </w:rPr>
              <w:lastRenderedPageBreak/>
              <w:t>Tetanus antitoxins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39EA57" w14:textId="4768FE0B" w:rsidR="0024565D" w:rsidRPr="0057515D" w:rsidRDefault="0024565D" w:rsidP="00FD0B9C">
            <w:pPr>
              <w:rPr>
                <w:lang w:val="en-029"/>
              </w:rPr>
            </w:pPr>
            <w:r>
              <w:rPr>
                <w:lang w:val="en-029"/>
              </w:rPr>
              <w:t>Antitoxin</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DFDFAD" w14:textId="6C77F709" w:rsidR="0024565D" w:rsidRPr="003077D7" w:rsidRDefault="0024565D" w:rsidP="00FD0B9C">
            <w:pPr>
              <w:rPr>
                <w:lang w:val="en-029"/>
              </w:rPr>
            </w:pPr>
            <w:r w:rsidRPr="00BF5795">
              <w:rPr>
                <w:lang w:val="en-029"/>
              </w:rPr>
              <w:t>Enzyme refined equine globulin</w:t>
            </w:r>
          </w:p>
        </w:tc>
        <w:tc>
          <w:tcPr>
            <w:tcW w:w="1800" w:type="dxa"/>
            <w:tcBorders>
              <w:top w:val="single" w:sz="8" w:space="0" w:color="000000"/>
              <w:left w:val="single" w:sz="8" w:space="0" w:color="000000"/>
              <w:bottom w:val="single" w:sz="8" w:space="0" w:color="000000"/>
              <w:right w:val="single" w:sz="8" w:space="0" w:color="000000"/>
            </w:tcBorders>
          </w:tcPr>
          <w:p w14:paraId="4294C20B" w14:textId="19D9733D" w:rsidR="0024565D" w:rsidRPr="003077D7" w:rsidRDefault="0024565D" w:rsidP="00FD0B9C">
            <w:pPr>
              <w:rPr>
                <w:lang w:val="en-029"/>
              </w:rPr>
            </w:pPr>
            <w:r>
              <w:rPr>
                <w:lang w:val="en-029"/>
              </w:rPr>
              <w:t>Subcutaneous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E503CD" w14:textId="7A5C5C8F" w:rsidR="0024565D" w:rsidRPr="00DD1B5A" w:rsidRDefault="0024565D" w:rsidP="00FD0B9C">
            <w:pPr>
              <w:rPr>
                <w:lang w:val="en-029"/>
              </w:rPr>
            </w:pPr>
            <w:r w:rsidRPr="00DD1B5A">
              <w:rPr>
                <w:color w:val="000000"/>
              </w:rPr>
              <w:t>1500 IU/ml</w:t>
            </w:r>
          </w:p>
        </w:tc>
        <w:tc>
          <w:tcPr>
            <w:tcW w:w="2157" w:type="dxa"/>
            <w:tcBorders>
              <w:top w:val="single" w:sz="8" w:space="0" w:color="000000"/>
              <w:left w:val="single" w:sz="8" w:space="0" w:color="000000"/>
              <w:bottom w:val="single" w:sz="8" w:space="0" w:color="000000"/>
              <w:right w:val="single" w:sz="8" w:space="0" w:color="000000"/>
            </w:tcBorders>
          </w:tcPr>
          <w:p w14:paraId="2E097E63" w14:textId="6E42FB4E" w:rsidR="0024565D" w:rsidRPr="00BF5795" w:rsidRDefault="003F2B1E" w:rsidP="00FD0B9C">
            <w:r>
              <w:t>N/A</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0859D5" w14:textId="272ABFB6" w:rsidR="0024565D" w:rsidRPr="00BF5795" w:rsidRDefault="0024565D" w:rsidP="00FD0B9C">
            <w:r w:rsidRPr="00BF5795">
              <w:t>Prophylaxis and treatment of tetanus</w:t>
            </w:r>
          </w:p>
          <w:p w14:paraId="0C4EB75C" w14:textId="77777777" w:rsidR="0024565D" w:rsidRPr="003077D7" w:rsidRDefault="0024565D" w:rsidP="00FD0B9C"/>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DCF7E6" w14:textId="304D3194" w:rsidR="0024565D" w:rsidRPr="003077D7" w:rsidRDefault="0024565D" w:rsidP="00FD0B9C">
            <w:pPr>
              <w:rPr>
                <w:lang w:val="en-029"/>
              </w:rPr>
            </w:pPr>
            <w:r w:rsidRPr="00BF5795">
              <w:rPr>
                <w:lang w:val="en-029"/>
              </w:rPr>
              <w:t>Vaccination is recommended for healthy animals that are not infected. Hypersensitivity tests should be done before administration. Anaphylactoid reaction may occur after administration hence giving adrenalin.</w:t>
            </w:r>
          </w:p>
        </w:tc>
      </w:tr>
    </w:tbl>
    <w:p w14:paraId="31980C75" w14:textId="7399BDE7" w:rsidR="00CC12FD" w:rsidRDefault="00CC12FD"/>
    <w:p w14:paraId="579C855B" w14:textId="77777777" w:rsidR="00DD1B5A" w:rsidRDefault="00DD1B5A" w:rsidP="004417FA">
      <w:pPr>
        <w:jc w:val="center"/>
        <w:rPr>
          <w:b/>
          <w:bCs/>
          <w:sz w:val="28"/>
          <w:szCs w:val="28"/>
          <w:u w:val="single"/>
          <w:lang w:val="en-029"/>
        </w:rPr>
      </w:pPr>
    </w:p>
    <w:p w14:paraId="6C172F11" w14:textId="6BBC3857" w:rsidR="004417FA" w:rsidRPr="00516430" w:rsidRDefault="004417FA" w:rsidP="004417FA">
      <w:pPr>
        <w:jc w:val="center"/>
        <w:rPr>
          <w:b/>
          <w:bCs/>
          <w:sz w:val="28"/>
          <w:szCs w:val="28"/>
          <w:u w:val="single"/>
          <w:lang w:val="en-029"/>
        </w:rPr>
      </w:pPr>
      <w:r w:rsidRPr="00516430">
        <w:rPr>
          <w:b/>
          <w:bCs/>
          <w:sz w:val="28"/>
          <w:szCs w:val="28"/>
          <w:u w:val="single"/>
          <w:lang w:val="en-029"/>
        </w:rPr>
        <w:t xml:space="preserve">Reversal </w:t>
      </w:r>
      <w:r w:rsidR="00D63B3D" w:rsidRPr="00516430">
        <w:rPr>
          <w:b/>
          <w:bCs/>
          <w:sz w:val="28"/>
          <w:szCs w:val="28"/>
          <w:u w:val="single"/>
          <w:lang w:val="en-029"/>
        </w:rPr>
        <w:t>agents</w:t>
      </w:r>
    </w:p>
    <w:tbl>
      <w:tblPr>
        <w:tblStyle w:val="TableGrid"/>
        <w:tblW w:w="12789" w:type="dxa"/>
        <w:tblInd w:w="458" w:type="dxa"/>
        <w:tblLook w:val="04A0" w:firstRow="1" w:lastRow="0" w:firstColumn="1" w:lastColumn="0" w:noHBand="0" w:noVBand="1"/>
      </w:tblPr>
      <w:tblGrid>
        <w:gridCol w:w="2433"/>
        <w:gridCol w:w="2749"/>
        <w:gridCol w:w="2596"/>
        <w:gridCol w:w="2501"/>
        <w:gridCol w:w="2510"/>
      </w:tblGrid>
      <w:tr w:rsidR="003B452C" w:rsidRPr="00516430" w14:paraId="5B377F71" w14:textId="77777777" w:rsidTr="003B452C">
        <w:trPr>
          <w:trHeight w:val="928"/>
        </w:trPr>
        <w:tc>
          <w:tcPr>
            <w:tcW w:w="2493" w:type="dxa"/>
            <w:shd w:val="clear" w:color="auto" w:fill="808080" w:themeFill="background1" w:themeFillShade="80"/>
          </w:tcPr>
          <w:p w14:paraId="5F9C5F9F" w14:textId="6D8A4ECC" w:rsidR="003B452C" w:rsidRPr="00516430" w:rsidRDefault="003B452C" w:rsidP="000B2071">
            <w:pPr>
              <w:jc w:val="center"/>
              <w:rPr>
                <w:b/>
                <w:bCs/>
                <w:sz w:val="28"/>
                <w:szCs w:val="28"/>
                <w:lang w:val="en-029"/>
              </w:rPr>
            </w:pPr>
            <w:r w:rsidRPr="00516430">
              <w:rPr>
                <w:b/>
                <w:bCs/>
                <w:sz w:val="28"/>
                <w:szCs w:val="28"/>
                <w:lang w:val="en-029"/>
              </w:rPr>
              <w:t>Drugs</w:t>
            </w:r>
          </w:p>
        </w:tc>
        <w:tc>
          <w:tcPr>
            <w:tcW w:w="2616" w:type="dxa"/>
            <w:shd w:val="clear" w:color="auto" w:fill="808080" w:themeFill="background1" w:themeFillShade="80"/>
          </w:tcPr>
          <w:p w14:paraId="0D0D40CA" w14:textId="36EE6B5E" w:rsidR="003B452C" w:rsidRPr="00516430" w:rsidRDefault="003B452C" w:rsidP="000B2071">
            <w:pPr>
              <w:jc w:val="center"/>
              <w:rPr>
                <w:b/>
                <w:bCs/>
                <w:sz w:val="28"/>
                <w:szCs w:val="28"/>
                <w:lang w:val="en-029"/>
              </w:rPr>
            </w:pPr>
            <w:r w:rsidRPr="00516430">
              <w:rPr>
                <w:b/>
                <w:bCs/>
                <w:sz w:val="28"/>
                <w:szCs w:val="28"/>
                <w:lang w:val="en-029"/>
              </w:rPr>
              <w:t>Route of administration</w:t>
            </w:r>
          </w:p>
        </w:tc>
        <w:tc>
          <w:tcPr>
            <w:tcW w:w="2600" w:type="dxa"/>
            <w:shd w:val="clear" w:color="auto" w:fill="808080" w:themeFill="background1" w:themeFillShade="80"/>
          </w:tcPr>
          <w:p w14:paraId="507B39AF" w14:textId="2D7EA321" w:rsidR="003B452C" w:rsidRPr="00516430" w:rsidRDefault="003B452C" w:rsidP="000B2071">
            <w:pPr>
              <w:jc w:val="center"/>
              <w:rPr>
                <w:b/>
                <w:bCs/>
                <w:sz w:val="28"/>
                <w:szCs w:val="28"/>
                <w:lang w:val="en-029"/>
              </w:rPr>
            </w:pPr>
            <w:r w:rsidRPr="00516430">
              <w:rPr>
                <w:b/>
                <w:bCs/>
                <w:sz w:val="28"/>
                <w:szCs w:val="28"/>
                <w:lang w:val="en-029"/>
              </w:rPr>
              <w:t>Dose/concentration</w:t>
            </w:r>
          </w:p>
        </w:tc>
        <w:tc>
          <w:tcPr>
            <w:tcW w:w="2540" w:type="dxa"/>
            <w:shd w:val="clear" w:color="auto" w:fill="808080" w:themeFill="background1" w:themeFillShade="80"/>
          </w:tcPr>
          <w:p w14:paraId="4FFD7F84" w14:textId="32318A5E" w:rsidR="003B452C" w:rsidRPr="00516430" w:rsidRDefault="003B452C" w:rsidP="000B2071">
            <w:pPr>
              <w:jc w:val="center"/>
              <w:rPr>
                <w:b/>
                <w:bCs/>
                <w:sz w:val="28"/>
                <w:szCs w:val="28"/>
                <w:lang w:val="en-029"/>
              </w:rPr>
            </w:pPr>
            <w:r w:rsidRPr="00516430">
              <w:rPr>
                <w:b/>
                <w:bCs/>
                <w:sz w:val="28"/>
                <w:szCs w:val="28"/>
                <w:lang w:val="en-029"/>
              </w:rPr>
              <w:t>Calculations</w:t>
            </w:r>
          </w:p>
        </w:tc>
        <w:tc>
          <w:tcPr>
            <w:tcW w:w="2540" w:type="dxa"/>
            <w:shd w:val="clear" w:color="auto" w:fill="808080" w:themeFill="background1" w:themeFillShade="80"/>
          </w:tcPr>
          <w:p w14:paraId="74B92A67" w14:textId="597DF3C4" w:rsidR="003B452C" w:rsidRPr="00516430" w:rsidRDefault="003B452C" w:rsidP="000B2071">
            <w:pPr>
              <w:jc w:val="center"/>
              <w:rPr>
                <w:b/>
                <w:bCs/>
                <w:sz w:val="28"/>
                <w:szCs w:val="28"/>
                <w:lang w:val="en-029"/>
              </w:rPr>
            </w:pPr>
            <w:r w:rsidRPr="00516430">
              <w:rPr>
                <w:b/>
                <w:bCs/>
                <w:sz w:val="28"/>
                <w:szCs w:val="28"/>
                <w:lang w:val="en-029"/>
              </w:rPr>
              <w:t>Indication of use and key points</w:t>
            </w:r>
          </w:p>
        </w:tc>
      </w:tr>
      <w:tr w:rsidR="003B452C" w:rsidRPr="00516430" w14:paraId="14D81089" w14:textId="77777777" w:rsidTr="003B452C">
        <w:trPr>
          <w:trHeight w:val="928"/>
        </w:trPr>
        <w:tc>
          <w:tcPr>
            <w:tcW w:w="2493" w:type="dxa"/>
          </w:tcPr>
          <w:p w14:paraId="7B20E897" w14:textId="48240DCC" w:rsidR="003B452C" w:rsidRPr="00516430" w:rsidRDefault="003B452C">
            <w:pPr>
              <w:rPr>
                <w:lang w:val="en-029"/>
              </w:rPr>
            </w:pPr>
            <w:r w:rsidRPr="00516430">
              <w:rPr>
                <w:lang w:val="en-029"/>
              </w:rPr>
              <w:t>Atropine</w:t>
            </w:r>
          </w:p>
        </w:tc>
        <w:tc>
          <w:tcPr>
            <w:tcW w:w="2616" w:type="dxa"/>
          </w:tcPr>
          <w:p w14:paraId="3887E131" w14:textId="070B82AF" w:rsidR="003B452C" w:rsidRPr="00516430" w:rsidRDefault="003B452C">
            <w:pPr>
              <w:rPr>
                <w:lang w:val="en-029"/>
              </w:rPr>
            </w:pPr>
            <w:r w:rsidRPr="00516430">
              <w:rPr>
                <w:lang w:val="en-029"/>
              </w:rPr>
              <w:t>Intravenous/Intramuscular</w:t>
            </w:r>
          </w:p>
        </w:tc>
        <w:tc>
          <w:tcPr>
            <w:tcW w:w="2600" w:type="dxa"/>
          </w:tcPr>
          <w:p w14:paraId="6200CEAF" w14:textId="77777777" w:rsidR="003B452C" w:rsidRPr="00516430" w:rsidRDefault="003B452C">
            <w:pPr>
              <w:rPr>
                <w:lang w:val="en-029"/>
              </w:rPr>
            </w:pPr>
            <w:r w:rsidRPr="00516430">
              <w:rPr>
                <w:lang w:val="en-029"/>
              </w:rPr>
              <w:t xml:space="preserve">0.04mg/kg </w:t>
            </w:r>
          </w:p>
          <w:p w14:paraId="4FD6E3D9" w14:textId="682802D0" w:rsidR="003B452C" w:rsidRPr="00516430" w:rsidRDefault="003B452C">
            <w:pPr>
              <w:rPr>
                <w:lang w:val="en-029"/>
              </w:rPr>
            </w:pPr>
            <w:r w:rsidRPr="00516430">
              <w:rPr>
                <w:lang w:val="en-029"/>
              </w:rPr>
              <w:t xml:space="preserve">0.54mg/ml </w:t>
            </w:r>
          </w:p>
        </w:tc>
        <w:tc>
          <w:tcPr>
            <w:tcW w:w="2540" w:type="dxa"/>
          </w:tcPr>
          <w:p w14:paraId="06AE4F48" w14:textId="4B83E1EF" w:rsidR="003B452C" w:rsidRPr="00516430" w:rsidRDefault="003B452C" w:rsidP="0087143B">
            <w:pPr>
              <w:rPr>
                <w:lang w:val="en-029"/>
              </w:rPr>
            </w:pPr>
            <w:r w:rsidRPr="00516430">
              <w:rPr>
                <w:lang w:val="en-029"/>
              </w:rPr>
              <w:t xml:space="preserve">350 kg X 0.04 mg/kg=14 mg/(0.54 mg/mL)=25.9 mLs </w:t>
            </w:r>
            <w:r w:rsidRPr="00516430">
              <w:rPr>
                <w:b/>
                <w:bCs/>
                <w:i/>
                <w:iCs/>
                <w:lang w:val="en-029"/>
              </w:rPr>
              <w:t>(If Needed-was not)</w:t>
            </w:r>
          </w:p>
        </w:tc>
        <w:tc>
          <w:tcPr>
            <w:tcW w:w="2540" w:type="dxa"/>
          </w:tcPr>
          <w:p w14:paraId="31F86201" w14:textId="4B11D893" w:rsidR="003B452C" w:rsidRPr="00516430" w:rsidRDefault="003B452C" w:rsidP="0087143B">
            <w:pPr>
              <w:rPr>
                <w:lang w:val="en-029"/>
              </w:rPr>
            </w:pPr>
            <w:r w:rsidRPr="00516430">
              <w:rPr>
                <w:lang w:val="en-029"/>
              </w:rPr>
              <w:t xml:space="preserve">Used for Bradycardia and sinoatrial arrest Contraindicated in conditions where </w:t>
            </w:r>
            <w:r w:rsidRPr="00516430">
              <w:rPr>
                <w:lang w:val="en-029"/>
              </w:rPr>
              <w:lastRenderedPageBreak/>
              <w:t>anticholinergic effects would be</w:t>
            </w:r>
          </w:p>
          <w:p w14:paraId="20D484ED" w14:textId="0F4B3D0A" w:rsidR="003B452C" w:rsidRPr="00516430" w:rsidRDefault="003B452C" w:rsidP="0087143B">
            <w:pPr>
              <w:rPr>
                <w:lang w:val="en-029"/>
              </w:rPr>
            </w:pPr>
            <w:r w:rsidRPr="00516430">
              <w:rPr>
                <w:lang w:val="en-029"/>
              </w:rPr>
              <w:t xml:space="preserve">Detrimental </w:t>
            </w:r>
            <w:r w:rsidR="00516430" w:rsidRPr="00516430">
              <w:rPr>
                <w:lang w:val="en-029"/>
              </w:rPr>
              <w:t>(</w:t>
            </w:r>
            <w:proofErr w:type="spellStart"/>
            <w:r w:rsidRPr="00516430">
              <w:rPr>
                <w:lang w:val="en-029"/>
              </w:rPr>
              <w:t>e.g</w:t>
            </w:r>
            <w:proofErr w:type="spellEnd"/>
            <w:r w:rsidRPr="00516430">
              <w:rPr>
                <w:lang w:val="en-029"/>
              </w:rPr>
              <w:t xml:space="preserve"> glaucoma</w:t>
            </w:r>
            <w:r w:rsidR="00516430" w:rsidRPr="00516430">
              <w:rPr>
                <w:lang w:val="en-029"/>
              </w:rPr>
              <w:t>)</w:t>
            </w:r>
          </w:p>
          <w:p w14:paraId="6C856F62" w14:textId="13FC334B" w:rsidR="003B452C" w:rsidRPr="00516430" w:rsidRDefault="003B452C">
            <w:pPr>
              <w:rPr>
                <w:lang w:val="en-029"/>
              </w:rPr>
            </w:pPr>
          </w:p>
        </w:tc>
      </w:tr>
      <w:tr w:rsidR="003B452C" w:rsidRPr="00516430" w14:paraId="66998BC2" w14:textId="77777777" w:rsidTr="003B452C">
        <w:trPr>
          <w:trHeight w:val="1016"/>
        </w:trPr>
        <w:tc>
          <w:tcPr>
            <w:tcW w:w="2493" w:type="dxa"/>
          </w:tcPr>
          <w:p w14:paraId="3FFF0879" w14:textId="220DD160" w:rsidR="003B452C" w:rsidRPr="00516430" w:rsidRDefault="003B452C">
            <w:pPr>
              <w:rPr>
                <w:lang w:val="en-029"/>
              </w:rPr>
            </w:pPr>
            <w:r w:rsidRPr="00516430">
              <w:rPr>
                <w:lang w:val="en-029"/>
              </w:rPr>
              <w:lastRenderedPageBreak/>
              <w:t>Epinephrine Injection USP</w:t>
            </w:r>
          </w:p>
        </w:tc>
        <w:tc>
          <w:tcPr>
            <w:tcW w:w="2616" w:type="dxa"/>
          </w:tcPr>
          <w:p w14:paraId="35F4E658" w14:textId="654BB709" w:rsidR="003B452C" w:rsidRPr="00516430" w:rsidRDefault="003B452C">
            <w:r w:rsidRPr="00516430">
              <w:rPr>
                <w:lang w:val="en-029"/>
              </w:rPr>
              <w:t>Intramuscular</w:t>
            </w:r>
          </w:p>
        </w:tc>
        <w:tc>
          <w:tcPr>
            <w:tcW w:w="2600" w:type="dxa"/>
          </w:tcPr>
          <w:p w14:paraId="036EFF3E" w14:textId="63F48A1E" w:rsidR="003B452C" w:rsidRPr="00516430" w:rsidRDefault="003B452C">
            <w:pPr>
              <w:rPr>
                <w:lang w:val="en-029"/>
              </w:rPr>
            </w:pPr>
            <w:r w:rsidRPr="00516430">
              <w:rPr>
                <w:lang w:val="en-029"/>
              </w:rPr>
              <w:t>0.02 mg/kg</w:t>
            </w:r>
          </w:p>
          <w:p w14:paraId="3918CA68" w14:textId="0F9F6819" w:rsidR="003B452C" w:rsidRPr="00516430" w:rsidRDefault="003B452C">
            <w:pPr>
              <w:rPr>
                <w:lang w:val="en-029"/>
              </w:rPr>
            </w:pPr>
            <w:r w:rsidRPr="00516430">
              <w:rPr>
                <w:lang w:val="en-029"/>
              </w:rPr>
              <w:t>1 mg/ml</w:t>
            </w:r>
          </w:p>
          <w:p w14:paraId="0F359663" w14:textId="622ED11A" w:rsidR="003B452C" w:rsidRPr="00516430" w:rsidRDefault="003B452C">
            <w:pPr>
              <w:rPr>
                <w:lang w:val="en-029"/>
              </w:rPr>
            </w:pPr>
          </w:p>
        </w:tc>
        <w:tc>
          <w:tcPr>
            <w:tcW w:w="2540" w:type="dxa"/>
          </w:tcPr>
          <w:p w14:paraId="650346C7" w14:textId="77777777" w:rsidR="003F2B1E" w:rsidRPr="00516430" w:rsidRDefault="003B452C" w:rsidP="005F1783">
            <w:pPr>
              <w:rPr>
                <w:lang w:val="en-029"/>
              </w:rPr>
            </w:pPr>
            <w:r w:rsidRPr="00516430">
              <w:rPr>
                <w:lang w:val="en-029"/>
              </w:rPr>
              <w:t xml:space="preserve">350 kg X 0.02 mg/kg=7 mg/(1mg/mL)=7 mLs </w:t>
            </w:r>
          </w:p>
          <w:p w14:paraId="4D486118" w14:textId="1AAFCAC9" w:rsidR="003B452C" w:rsidRPr="00516430" w:rsidRDefault="003B452C" w:rsidP="005F1783">
            <w:pPr>
              <w:rPr>
                <w:b/>
                <w:bCs/>
                <w:i/>
                <w:iCs/>
                <w:lang w:val="en-029"/>
              </w:rPr>
            </w:pPr>
            <w:r w:rsidRPr="00516430">
              <w:rPr>
                <w:b/>
                <w:bCs/>
                <w:i/>
                <w:iCs/>
                <w:lang w:val="en-029"/>
              </w:rPr>
              <w:t>(If Needed-was not)</w:t>
            </w:r>
          </w:p>
        </w:tc>
        <w:tc>
          <w:tcPr>
            <w:tcW w:w="2540" w:type="dxa"/>
          </w:tcPr>
          <w:p w14:paraId="65B4C4A7" w14:textId="68242265" w:rsidR="003B452C" w:rsidRPr="00516430" w:rsidRDefault="003B452C" w:rsidP="005F1783">
            <w:pPr>
              <w:rPr>
                <w:lang w:val="en-029"/>
              </w:rPr>
            </w:pPr>
            <w:r w:rsidRPr="00516430">
              <w:rPr>
                <w:lang w:val="en-029"/>
              </w:rPr>
              <w:t>Quick acting</w:t>
            </w:r>
            <w:r w:rsidRPr="00516430">
              <w:t xml:space="preserve"> </w:t>
            </w:r>
            <w:r w:rsidRPr="00516430">
              <w:rPr>
                <w:lang w:val="en-029"/>
              </w:rPr>
              <w:t>Alpha- &amp; beta-adrenergic agonist agent used systemically for treating anaphylaxis &amp; cardiac resuscitation. Contraindications: Narrow-angle glaucoma, hypersensitivity to</w:t>
            </w:r>
          </w:p>
          <w:p w14:paraId="7733B57A" w14:textId="568E018C" w:rsidR="003B452C" w:rsidRPr="00516430" w:rsidRDefault="003B452C" w:rsidP="005F1783">
            <w:pPr>
              <w:rPr>
                <w:lang w:val="en-029"/>
              </w:rPr>
            </w:pPr>
            <w:r w:rsidRPr="00516430">
              <w:rPr>
                <w:lang w:val="en-029"/>
              </w:rPr>
              <w:t>Epinephrine.</w:t>
            </w:r>
          </w:p>
        </w:tc>
      </w:tr>
      <w:tr w:rsidR="003B452C" w:rsidRPr="00516430" w14:paraId="072CB7C7" w14:textId="77777777" w:rsidTr="003B452C">
        <w:trPr>
          <w:trHeight w:val="928"/>
        </w:trPr>
        <w:tc>
          <w:tcPr>
            <w:tcW w:w="2493" w:type="dxa"/>
          </w:tcPr>
          <w:p w14:paraId="184FD62D" w14:textId="3EE6A46D" w:rsidR="003B452C" w:rsidRPr="00516430" w:rsidRDefault="003B452C">
            <w:pPr>
              <w:rPr>
                <w:lang w:val="en-029"/>
              </w:rPr>
            </w:pPr>
            <w:r w:rsidRPr="00516430">
              <w:rPr>
                <w:lang w:val="en-029"/>
              </w:rPr>
              <w:t>Tolazoline</w:t>
            </w:r>
          </w:p>
        </w:tc>
        <w:tc>
          <w:tcPr>
            <w:tcW w:w="2616" w:type="dxa"/>
          </w:tcPr>
          <w:p w14:paraId="49D8384A" w14:textId="0B33A8D1" w:rsidR="003B452C" w:rsidRPr="00516430" w:rsidRDefault="003B452C">
            <w:r w:rsidRPr="00516430">
              <w:rPr>
                <w:lang w:val="en-029"/>
              </w:rPr>
              <w:t xml:space="preserve">Slow Intravenous </w:t>
            </w:r>
          </w:p>
        </w:tc>
        <w:tc>
          <w:tcPr>
            <w:tcW w:w="2600" w:type="dxa"/>
          </w:tcPr>
          <w:p w14:paraId="06F454B7" w14:textId="4DD0E3C4" w:rsidR="003B452C" w:rsidRPr="00516430" w:rsidRDefault="003B452C">
            <w:pPr>
              <w:rPr>
                <w:lang w:val="en-029"/>
              </w:rPr>
            </w:pPr>
            <w:r w:rsidRPr="00516430">
              <w:rPr>
                <w:lang w:val="en-029"/>
              </w:rPr>
              <w:t>2 times the dosage of xylazine (0.05 mg/kg) used.</w:t>
            </w:r>
          </w:p>
        </w:tc>
        <w:tc>
          <w:tcPr>
            <w:tcW w:w="2540" w:type="dxa"/>
          </w:tcPr>
          <w:p w14:paraId="43F874E9" w14:textId="77777777" w:rsidR="003B452C" w:rsidRPr="00516430" w:rsidRDefault="003B452C">
            <w:pPr>
              <w:rPr>
                <w:lang w:val="en-029"/>
              </w:rPr>
            </w:pPr>
            <w:r w:rsidRPr="00516430">
              <w:rPr>
                <w:lang w:val="en-029"/>
              </w:rPr>
              <w:t>2x Xylazine so (17.5 mL X 2)= 35.0 mL slow IV</w:t>
            </w:r>
          </w:p>
          <w:p w14:paraId="5FC3383D" w14:textId="1B4520E3" w:rsidR="003F2B1E" w:rsidRPr="00516430" w:rsidRDefault="003F2B1E">
            <w:pPr>
              <w:rPr>
                <w:b/>
                <w:bCs/>
                <w:i/>
                <w:iCs/>
                <w:lang w:val="en-029"/>
              </w:rPr>
            </w:pPr>
            <w:r w:rsidRPr="00516430">
              <w:rPr>
                <w:b/>
                <w:bCs/>
                <w:i/>
                <w:iCs/>
                <w:lang w:val="en-029"/>
              </w:rPr>
              <w:t>(If Needed-was not)</w:t>
            </w:r>
          </w:p>
        </w:tc>
        <w:tc>
          <w:tcPr>
            <w:tcW w:w="2540" w:type="dxa"/>
          </w:tcPr>
          <w:p w14:paraId="705B69A2" w14:textId="6CC1BED7" w:rsidR="003B452C" w:rsidRPr="00516430" w:rsidRDefault="003B452C">
            <w:pPr>
              <w:rPr>
                <w:lang w:val="en-029"/>
              </w:rPr>
            </w:pPr>
            <w:r w:rsidRPr="00516430">
              <w:rPr>
                <w:lang w:val="en-029"/>
              </w:rPr>
              <w:t>Used to reverse the effects of xylazine such as bradycardia and hypotension. Must be given via slow IV.</w:t>
            </w:r>
          </w:p>
        </w:tc>
      </w:tr>
    </w:tbl>
    <w:p w14:paraId="0FDFA93C" w14:textId="77777777" w:rsidR="003077D7" w:rsidRPr="00516430" w:rsidRDefault="003077D7"/>
    <w:sectPr w:rsidR="003077D7" w:rsidRPr="00516430" w:rsidSect="00D1216E">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1094"/>
    <w:multiLevelType w:val="multilevel"/>
    <w:tmpl w:val="7BBC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26629"/>
    <w:multiLevelType w:val="multilevel"/>
    <w:tmpl w:val="072E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255FB"/>
    <w:multiLevelType w:val="multilevel"/>
    <w:tmpl w:val="8096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31CD4"/>
    <w:multiLevelType w:val="multilevel"/>
    <w:tmpl w:val="3340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7B64D8"/>
    <w:multiLevelType w:val="multilevel"/>
    <w:tmpl w:val="EC5A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62514"/>
    <w:multiLevelType w:val="hybridMultilevel"/>
    <w:tmpl w:val="7B18B716"/>
    <w:lvl w:ilvl="0" w:tplc="EFE6F6A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6E"/>
    <w:rsid w:val="0001715B"/>
    <w:rsid w:val="00067451"/>
    <w:rsid w:val="00075D0E"/>
    <w:rsid w:val="000B2071"/>
    <w:rsid w:val="00206242"/>
    <w:rsid w:val="0024565D"/>
    <w:rsid w:val="00257DA7"/>
    <w:rsid w:val="003077D7"/>
    <w:rsid w:val="00370DC1"/>
    <w:rsid w:val="00371F84"/>
    <w:rsid w:val="0038744E"/>
    <w:rsid w:val="00396B6F"/>
    <w:rsid w:val="003B452C"/>
    <w:rsid w:val="003F2B1E"/>
    <w:rsid w:val="004417FA"/>
    <w:rsid w:val="004450D9"/>
    <w:rsid w:val="00516430"/>
    <w:rsid w:val="0057515D"/>
    <w:rsid w:val="005F1783"/>
    <w:rsid w:val="00612CB5"/>
    <w:rsid w:val="00726C71"/>
    <w:rsid w:val="008644C6"/>
    <w:rsid w:val="0087143B"/>
    <w:rsid w:val="00935ECE"/>
    <w:rsid w:val="009A0060"/>
    <w:rsid w:val="00A13E2F"/>
    <w:rsid w:val="00A45377"/>
    <w:rsid w:val="00A8019C"/>
    <w:rsid w:val="00AC448B"/>
    <w:rsid w:val="00B03E5B"/>
    <w:rsid w:val="00B46BFD"/>
    <w:rsid w:val="00BF5795"/>
    <w:rsid w:val="00C655D4"/>
    <w:rsid w:val="00CC12FD"/>
    <w:rsid w:val="00CF17C5"/>
    <w:rsid w:val="00D1216E"/>
    <w:rsid w:val="00D63B3D"/>
    <w:rsid w:val="00DD1B5A"/>
    <w:rsid w:val="00DE0729"/>
    <w:rsid w:val="00E0681E"/>
    <w:rsid w:val="00EC0EE1"/>
    <w:rsid w:val="00F415C6"/>
    <w:rsid w:val="00F43848"/>
    <w:rsid w:val="00F95A6A"/>
    <w:rsid w:val="00FD0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E249"/>
  <w15:chartTrackingRefBased/>
  <w15:docId w15:val="{8C8826BF-9142-483F-B159-20698887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1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7451"/>
    <w:pPr>
      <w:spacing w:before="100" w:beforeAutospacing="1" w:after="100" w:afterAutospacing="1"/>
    </w:pPr>
  </w:style>
  <w:style w:type="table" w:styleId="TableGrid">
    <w:name w:val="Table Grid"/>
    <w:basedOn w:val="TableNormal"/>
    <w:uiPriority w:val="39"/>
    <w:rsid w:val="000B2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noindent">
    <w:name w:val="bodynoindent"/>
    <w:basedOn w:val="DefaultParagraphFont"/>
    <w:rsid w:val="00935ECE"/>
  </w:style>
  <w:style w:type="paragraph" w:styleId="ListParagraph">
    <w:name w:val="List Paragraph"/>
    <w:basedOn w:val="Normal"/>
    <w:uiPriority w:val="34"/>
    <w:qFormat/>
    <w:rsid w:val="00935ECE"/>
    <w:pPr>
      <w:ind w:left="720"/>
      <w:contextualSpacing/>
    </w:pPr>
  </w:style>
  <w:style w:type="character" w:styleId="HTMLCite">
    <w:name w:val="HTML Cite"/>
    <w:basedOn w:val="DefaultParagraphFont"/>
    <w:uiPriority w:val="99"/>
    <w:semiHidden/>
    <w:unhideWhenUsed/>
    <w:rsid w:val="00B46BFD"/>
    <w:rPr>
      <w:i/>
      <w:iCs/>
    </w:rPr>
  </w:style>
  <w:style w:type="character" w:styleId="Hyperlink">
    <w:name w:val="Hyperlink"/>
    <w:basedOn w:val="DefaultParagraphFont"/>
    <w:uiPriority w:val="99"/>
    <w:semiHidden/>
    <w:unhideWhenUsed/>
    <w:rsid w:val="00B46B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08106">
      <w:bodyDiv w:val="1"/>
      <w:marLeft w:val="0"/>
      <w:marRight w:val="0"/>
      <w:marTop w:val="0"/>
      <w:marBottom w:val="0"/>
      <w:divBdr>
        <w:top w:val="none" w:sz="0" w:space="0" w:color="auto"/>
        <w:left w:val="none" w:sz="0" w:space="0" w:color="auto"/>
        <w:bottom w:val="none" w:sz="0" w:space="0" w:color="auto"/>
        <w:right w:val="none" w:sz="0" w:space="0" w:color="auto"/>
      </w:divBdr>
    </w:div>
    <w:div w:id="357510856">
      <w:bodyDiv w:val="1"/>
      <w:marLeft w:val="0"/>
      <w:marRight w:val="0"/>
      <w:marTop w:val="0"/>
      <w:marBottom w:val="0"/>
      <w:divBdr>
        <w:top w:val="none" w:sz="0" w:space="0" w:color="auto"/>
        <w:left w:val="none" w:sz="0" w:space="0" w:color="auto"/>
        <w:bottom w:val="none" w:sz="0" w:space="0" w:color="auto"/>
        <w:right w:val="none" w:sz="0" w:space="0" w:color="auto"/>
      </w:divBdr>
      <w:divsChild>
        <w:div w:id="427392244">
          <w:marLeft w:val="0"/>
          <w:marRight w:val="0"/>
          <w:marTop w:val="0"/>
          <w:marBottom w:val="0"/>
          <w:divBdr>
            <w:top w:val="single" w:sz="6" w:space="8" w:color="97999B"/>
            <w:left w:val="none" w:sz="0" w:space="0" w:color="auto"/>
            <w:bottom w:val="none" w:sz="0" w:space="0" w:color="auto"/>
            <w:right w:val="none" w:sz="0" w:space="0" w:color="auto"/>
          </w:divBdr>
          <w:divsChild>
            <w:div w:id="1068113442">
              <w:marLeft w:val="0"/>
              <w:marRight w:val="0"/>
              <w:marTop w:val="0"/>
              <w:marBottom w:val="0"/>
              <w:divBdr>
                <w:top w:val="none" w:sz="0" w:space="0" w:color="auto"/>
                <w:left w:val="none" w:sz="0" w:space="0" w:color="auto"/>
                <w:bottom w:val="none" w:sz="0" w:space="0" w:color="auto"/>
                <w:right w:val="none" w:sz="0" w:space="0" w:color="auto"/>
              </w:divBdr>
            </w:div>
          </w:divsChild>
        </w:div>
        <w:div w:id="1248228177">
          <w:marLeft w:val="0"/>
          <w:marRight w:val="0"/>
          <w:marTop w:val="0"/>
          <w:marBottom w:val="0"/>
          <w:divBdr>
            <w:top w:val="single" w:sz="6" w:space="8" w:color="97999B"/>
            <w:left w:val="none" w:sz="0" w:space="0" w:color="auto"/>
            <w:bottom w:val="none" w:sz="0" w:space="0" w:color="auto"/>
            <w:right w:val="none" w:sz="0" w:space="0" w:color="auto"/>
          </w:divBdr>
        </w:div>
      </w:divsChild>
    </w:div>
    <w:div w:id="533468243">
      <w:bodyDiv w:val="1"/>
      <w:marLeft w:val="0"/>
      <w:marRight w:val="0"/>
      <w:marTop w:val="0"/>
      <w:marBottom w:val="0"/>
      <w:divBdr>
        <w:top w:val="none" w:sz="0" w:space="0" w:color="auto"/>
        <w:left w:val="none" w:sz="0" w:space="0" w:color="auto"/>
        <w:bottom w:val="none" w:sz="0" w:space="0" w:color="auto"/>
        <w:right w:val="none" w:sz="0" w:space="0" w:color="auto"/>
      </w:divBdr>
    </w:div>
    <w:div w:id="628438707">
      <w:bodyDiv w:val="1"/>
      <w:marLeft w:val="0"/>
      <w:marRight w:val="0"/>
      <w:marTop w:val="0"/>
      <w:marBottom w:val="0"/>
      <w:divBdr>
        <w:top w:val="none" w:sz="0" w:space="0" w:color="auto"/>
        <w:left w:val="none" w:sz="0" w:space="0" w:color="auto"/>
        <w:bottom w:val="none" w:sz="0" w:space="0" w:color="auto"/>
        <w:right w:val="none" w:sz="0" w:space="0" w:color="auto"/>
      </w:divBdr>
    </w:div>
    <w:div w:id="741216880">
      <w:bodyDiv w:val="1"/>
      <w:marLeft w:val="0"/>
      <w:marRight w:val="0"/>
      <w:marTop w:val="0"/>
      <w:marBottom w:val="0"/>
      <w:divBdr>
        <w:top w:val="none" w:sz="0" w:space="0" w:color="auto"/>
        <w:left w:val="none" w:sz="0" w:space="0" w:color="auto"/>
        <w:bottom w:val="none" w:sz="0" w:space="0" w:color="auto"/>
        <w:right w:val="none" w:sz="0" w:space="0" w:color="auto"/>
      </w:divBdr>
    </w:div>
    <w:div w:id="855119168">
      <w:bodyDiv w:val="1"/>
      <w:marLeft w:val="0"/>
      <w:marRight w:val="0"/>
      <w:marTop w:val="0"/>
      <w:marBottom w:val="0"/>
      <w:divBdr>
        <w:top w:val="none" w:sz="0" w:space="0" w:color="auto"/>
        <w:left w:val="none" w:sz="0" w:space="0" w:color="auto"/>
        <w:bottom w:val="none" w:sz="0" w:space="0" w:color="auto"/>
        <w:right w:val="none" w:sz="0" w:space="0" w:color="auto"/>
      </w:divBdr>
    </w:div>
    <w:div w:id="856312000">
      <w:bodyDiv w:val="1"/>
      <w:marLeft w:val="0"/>
      <w:marRight w:val="0"/>
      <w:marTop w:val="0"/>
      <w:marBottom w:val="0"/>
      <w:divBdr>
        <w:top w:val="none" w:sz="0" w:space="0" w:color="auto"/>
        <w:left w:val="none" w:sz="0" w:space="0" w:color="auto"/>
        <w:bottom w:val="none" w:sz="0" w:space="0" w:color="auto"/>
        <w:right w:val="none" w:sz="0" w:space="0" w:color="auto"/>
      </w:divBdr>
    </w:div>
    <w:div w:id="1186214104">
      <w:bodyDiv w:val="1"/>
      <w:marLeft w:val="0"/>
      <w:marRight w:val="0"/>
      <w:marTop w:val="0"/>
      <w:marBottom w:val="0"/>
      <w:divBdr>
        <w:top w:val="none" w:sz="0" w:space="0" w:color="auto"/>
        <w:left w:val="none" w:sz="0" w:space="0" w:color="auto"/>
        <w:bottom w:val="none" w:sz="0" w:space="0" w:color="auto"/>
        <w:right w:val="none" w:sz="0" w:space="0" w:color="auto"/>
      </w:divBdr>
    </w:div>
    <w:div w:id="1364332451">
      <w:bodyDiv w:val="1"/>
      <w:marLeft w:val="0"/>
      <w:marRight w:val="0"/>
      <w:marTop w:val="0"/>
      <w:marBottom w:val="0"/>
      <w:divBdr>
        <w:top w:val="none" w:sz="0" w:space="0" w:color="auto"/>
        <w:left w:val="none" w:sz="0" w:space="0" w:color="auto"/>
        <w:bottom w:val="none" w:sz="0" w:space="0" w:color="auto"/>
        <w:right w:val="none" w:sz="0" w:space="0" w:color="auto"/>
      </w:divBdr>
    </w:div>
    <w:div w:id="1433428676">
      <w:bodyDiv w:val="1"/>
      <w:marLeft w:val="0"/>
      <w:marRight w:val="0"/>
      <w:marTop w:val="0"/>
      <w:marBottom w:val="0"/>
      <w:divBdr>
        <w:top w:val="none" w:sz="0" w:space="0" w:color="auto"/>
        <w:left w:val="none" w:sz="0" w:space="0" w:color="auto"/>
        <w:bottom w:val="none" w:sz="0" w:space="0" w:color="auto"/>
        <w:right w:val="none" w:sz="0" w:space="0" w:color="auto"/>
      </w:divBdr>
    </w:div>
    <w:div w:id="1639843831">
      <w:bodyDiv w:val="1"/>
      <w:marLeft w:val="0"/>
      <w:marRight w:val="0"/>
      <w:marTop w:val="0"/>
      <w:marBottom w:val="0"/>
      <w:divBdr>
        <w:top w:val="none" w:sz="0" w:space="0" w:color="auto"/>
        <w:left w:val="none" w:sz="0" w:space="0" w:color="auto"/>
        <w:bottom w:val="none" w:sz="0" w:space="0" w:color="auto"/>
        <w:right w:val="none" w:sz="0" w:space="0" w:color="auto"/>
      </w:divBdr>
    </w:div>
    <w:div w:id="1682198776">
      <w:bodyDiv w:val="1"/>
      <w:marLeft w:val="0"/>
      <w:marRight w:val="0"/>
      <w:marTop w:val="0"/>
      <w:marBottom w:val="0"/>
      <w:divBdr>
        <w:top w:val="none" w:sz="0" w:space="0" w:color="auto"/>
        <w:left w:val="none" w:sz="0" w:space="0" w:color="auto"/>
        <w:bottom w:val="none" w:sz="0" w:space="0" w:color="auto"/>
        <w:right w:val="none" w:sz="0" w:space="0" w:color="auto"/>
      </w:divBdr>
    </w:div>
    <w:div w:id="1796827285">
      <w:bodyDiv w:val="1"/>
      <w:marLeft w:val="0"/>
      <w:marRight w:val="0"/>
      <w:marTop w:val="0"/>
      <w:marBottom w:val="0"/>
      <w:divBdr>
        <w:top w:val="none" w:sz="0" w:space="0" w:color="auto"/>
        <w:left w:val="none" w:sz="0" w:space="0" w:color="auto"/>
        <w:bottom w:val="none" w:sz="0" w:space="0" w:color="auto"/>
        <w:right w:val="none" w:sz="0" w:space="0" w:color="auto"/>
      </w:divBdr>
    </w:div>
    <w:div w:id="1956869442">
      <w:bodyDiv w:val="1"/>
      <w:marLeft w:val="0"/>
      <w:marRight w:val="0"/>
      <w:marTop w:val="0"/>
      <w:marBottom w:val="0"/>
      <w:divBdr>
        <w:top w:val="none" w:sz="0" w:space="0" w:color="auto"/>
        <w:left w:val="none" w:sz="0" w:space="0" w:color="auto"/>
        <w:bottom w:val="none" w:sz="0" w:space="0" w:color="auto"/>
        <w:right w:val="none" w:sz="0" w:space="0" w:color="auto"/>
      </w:divBdr>
    </w:div>
    <w:div w:id="1992244791">
      <w:bodyDiv w:val="1"/>
      <w:marLeft w:val="0"/>
      <w:marRight w:val="0"/>
      <w:marTop w:val="0"/>
      <w:marBottom w:val="0"/>
      <w:divBdr>
        <w:top w:val="none" w:sz="0" w:space="0" w:color="auto"/>
        <w:left w:val="none" w:sz="0" w:space="0" w:color="auto"/>
        <w:bottom w:val="none" w:sz="0" w:space="0" w:color="auto"/>
        <w:right w:val="none" w:sz="0" w:space="0" w:color="auto"/>
      </w:divBdr>
      <w:divsChild>
        <w:div w:id="1614020659">
          <w:marLeft w:val="0"/>
          <w:marRight w:val="0"/>
          <w:marTop w:val="0"/>
          <w:marBottom w:val="0"/>
          <w:divBdr>
            <w:top w:val="single" w:sz="6" w:space="8" w:color="97999B"/>
            <w:left w:val="none" w:sz="0" w:space="0" w:color="auto"/>
            <w:bottom w:val="none" w:sz="0" w:space="0" w:color="auto"/>
            <w:right w:val="none" w:sz="0" w:space="0" w:color="auto"/>
          </w:divBdr>
          <w:divsChild>
            <w:div w:id="1818187848">
              <w:marLeft w:val="0"/>
              <w:marRight w:val="0"/>
              <w:marTop w:val="0"/>
              <w:marBottom w:val="0"/>
              <w:divBdr>
                <w:top w:val="none" w:sz="0" w:space="0" w:color="auto"/>
                <w:left w:val="none" w:sz="0" w:space="0" w:color="auto"/>
                <w:bottom w:val="none" w:sz="0" w:space="0" w:color="auto"/>
                <w:right w:val="none" w:sz="0" w:space="0" w:color="auto"/>
              </w:divBdr>
            </w:div>
          </w:divsChild>
        </w:div>
        <w:div w:id="682709147">
          <w:marLeft w:val="0"/>
          <w:marRight w:val="0"/>
          <w:marTop w:val="0"/>
          <w:marBottom w:val="0"/>
          <w:divBdr>
            <w:top w:val="single" w:sz="6" w:space="8" w:color="97999B"/>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Shontae Shepherd</dc:creator>
  <cp:keywords/>
  <dc:description/>
  <cp:lastModifiedBy>Parisien, Alex</cp:lastModifiedBy>
  <cp:revision>8</cp:revision>
  <dcterms:created xsi:type="dcterms:W3CDTF">2021-10-25T05:08:00Z</dcterms:created>
  <dcterms:modified xsi:type="dcterms:W3CDTF">2021-10-25T07:13:00Z</dcterms:modified>
</cp:coreProperties>
</file>