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4901AB" w:rsidTr="004901AB">
        <w:tc>
          <w:tcPr>
            <w:tcW w:w="9350" w:type="dxa"/>
            <w:gridSpan w:val="2"/>
            <w:shd w:val="clear" w:color="auto" w:fill="8EAADB" w:themeFill="accent5" w:themeFillTint="99"/>
          </w:tcPr>
          <w:p w:rsidR="004901AB" w:rsidRPr="004901AB" w:rsidRDefault="004901AB" w:rsidP="004901AB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4901AB">
              <w:rPr>
                <w:b/>
              </w:rPr>
              <w:t>Subconjunctival</w:t>
            </w:r>
            <w:proofErr w:type="spellEnd"/>
            <w:r w:rsidRPr="004901AB">
              <w:rPr>
                <w:b/>
              </w:rPr>
              <w:t xml:space="preserve"> Injection</w:t>
            </w:r>
          </w:p>
        </w:tc>
      </w:tr>
      <w:tr w:rsidR="004901AB" w:rsidTr="0018065F">
        <w:tc>
          <w:tcPr>
            <w:tcW w:w="2515" w:type="dxa"/>
          </w:tcPr>
          <w:p w:rsidR="004901AB" w:rsidRPr="0018065F" w:rsidRDefault="004901AB" w:rsidP="004901AB">
            <w:pPr>
              <w:spacing w:line="360" w:lineRule="auto"/>
              <w:rPr>
                <w:b/>
              </w:rPr>
            </w:pPr>
            <w:r w:rsidRPr="0018065F">
              <w:rPr>
                <w:b/>
              </w:rPr>
              <w:t xml:space="preserve">Uses </w:t>
            </w:r>
          </w:p>
        </w:tc>
        <w:tc>
          <w:tcPr>
            <w:tcW w:w="6835" w:type="dxa"/>
          </w:tcPr>
          <w:p w:rsidR="006E68C7" w:rsidRDefault="006E68C7" w:rsidP="00815000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  <w:proofErr w:type="spellStart"/>
            <w:r>
              <w:t>Subconjunctival</w:t>
            </w:r>
            <w:proofErr w:type="spellEnd"/>
            <w:r>
              <w:t xml:space="preserve"> injections are another means of achieving high therapeutic levels of drugs in the cornea, sclera and</w:t>
            </w:r>
            <w:r w:rsidR="00815000">
              <w:t xml:space="preserve"> anterior segment of the orbit. </w:t>
            </w:r>
            <w:r>
              <w:t>This is particularly important in the emergency management of acute infection or inflammation of the orbit.</w:t>
            </w:r>
          </w:p>
          <w:p w:rsidR="006E68C7" w:rsidRDefault="006E68C7" w:rsidP="00815000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  <w:r>
              <w:t xml:space="preserve">Placing injections </w:t>
            </w:r>
            <w:proofErr w:type="spellStart"/>
            <w:r>
              <w:t>subconjunctivally</w:t>
            </w:r>
            <w:proofErr w:type="spellEnd"/>
            <w:r>
              <w:t xml:space="preserve"> bypasses the lipid layers of the bulbar conjunctiva and places the drugs adjacent to the water-permeable sclera, increasing water-soluble drug penetration into the eye.</w:t>
            </w:r>
          </w:p>
          <w:p w:rsidR="004901AB" w:rsidRDefault="006E68C7" w:rsidP="00815000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  <w:r>
              <w:t>Local deposition allows for the leakage and therefore, corneal penetration.</w:t>
            </w:r>
          </w:p>
        </w:tc>
      </w:tr>
      <w:tr w:rsidR="004901AB" w:rsidTr="0018065F">
        <w:tc>
          <w:tcPr>
            <w:tcW w:w="2515" w:type="dxa"/>
          </w:tcPr>
          <w:p w:rsidR="004901AB" w:rsidRPr="0018065F" w:rsidRDefault="004901AB" w:rsidP="004901AB">
            <w:pPr>
              <w:spacing w:line="360" w:lineRule="auto"/>
              <w:rPr>
                <w:b/>
              </w:rPr>
            </w:pPr>
            <w:r w:rsidRPr="0018065F">
              <w:rPr>
                <w:b/>
              </w:rPr>
              <w:t xml:space="preserve">Restraint </w:t>
            </w:r>
          </w:p>
        </w:tc>
        <w:tc>
          <w:tcPr>
            <w:tcW w:w="6835" w:type="dxa"/>
          </w:tcPr>
          <w:p w:rsidR="004901AB" w:rsidRDefault="00815000" w:rsidP="00815000">
            <w:pPr>
              <w:spacing w:line="360" w:lineRule="auto"/>
            </w:pPr>
            <w:r>
              <w:t>Generally</w:t>
            </w:r>
            <w:r w:rsidR="004901AB">
              <w:t xml:space="preserve"> car</w:t>
            </w:r>
            <w:r>
              <w:t>ried out in the standing animal</w:t>
            </w:r>
          </w:p>
          <w:p w:rsidR="004901AB" w:rsidRDefault="00B26E3D" w:rsidP="00815000">
            <w:pPr>
              <w:spacing w:line="360" w:lineRule="auto"/>
            </w:pPr>
            <w:r>
              <w:t>Standard restraint in a crush</w:t>
            </w:r>
          </w:p>
          <w:p w:rsidR="004901AB" w:rsidRDefault="004901AB" w:rsidP="00815000">
            <w:pPr>
              <w:spacing w:line="360" w:lineRule="auto"/>
            </w:pPr>
            <w:r>
              <w:t>A halter is use</w:t>
            </w:r>
            <w:r w:rsidR="00815000">
              <w:t xml:space="preserve">d to restrain the animals head </w:t>
            </w:r>
          </w:p>
        </w:tc>
      </w:tr>
      <w:tr w:rsidR="004901AB" w:rsidTr="0018065F">
        <w:tc>
          <w:tcPr>
            <w:tcW w:w="2515" w:type="dxa"/>
          </w:tcPr>
          <w:p w:rsidR="004901AB" w:rsidRPr="0018065F" w:rsidRDefault="004901AB" w:rsidP="004901AB">
            <w:pPr>
              <w:spacing w:line="360" w:lineRule="auto"/>
              <w:rPr>
                <w:b/>
              </w:rPr>
            </w:pPr>
            <w:r w:rsidRPr="0018065F">
              <w:rPr>
                <w:b/>
              </w:rPr>
              <w:t xml:space="preserve">Materials Required </w:t>
            </w:r>
          </w:p>
        </w:tc>
        <w:tc>
          <w:tcPr>
            <w:tcW w:w="6835" w:type="dxa"/>
          </w:tcPr>
          <w:p w:rsidR="0018065F" w:rsidRDefault="0018065F" w:rsidP="00815000">
            <w:pPr>
              <w:spacing w:line="360" w:lineRule="auto"/>
            </w:pPr>
            <w:r>
              <w:t>25 gauge</w:t>
            </w:r>
            <w:r w:rsidR="00815000">
              <w:t xml:space="preserve"> </w:t>
            </w:r>
            <w:proofErr w:type="gramStart"/>
            <w:r w:rsidR="00815000">
              <w:t>1 inch</w:t>
            </w:r>
            <w:proofErr w:type="gramEnd"/>
            <w:r>
              <w:t xml:space="preserve"> needle </w:t>
            </w:r>
          </w:p>
          <w:p w:rsidR="0018065F" w:rsidRDefault="00815000" w:rsidP="00815000">
            <w:pPr>
              <w:spacing w:line="360" w:lineRule="auto"/>
            </w:pPr>
            <w:r>
              <w:t>1ml s</w:t>
            </w:r>
            <w:r w:rsidR="0018065F">
              <w:t xml:space="preserve">yringe </w:t>
            </w:r>
          </w:p>
          <w:p w:rsidR="0018065F" w:rsidRDefault="0018065F" w:rsidP="00815000">
            <w:pPr>
              <w:spacing w:line="360" w:lineRule="auto"/>
            </w:pPr>
            <w:r>
              <w:t xml:space="preserve">Drug being used to treat the ocular condition </w:t>
            </w:r>
          </w:p>
        </w:tc>
      </w:tr>
      <w:tr w:rsidR="004901AB" w:rsidTr="0018065F">
        <w:tc>
          <w:tcPr>
            <w:tcW w:w="2515" w:type="dxa"/>
          </w:tcPr>
          <w:p w:rsidR="004901AB" w:rsidRPr="0018065F" w:rsidRDefault="004901AB" w:rsidP="004901AB">
            <w:pPr>
              <w:spacing w:line="360" w:lineRule="auto"/>
              <w:rPr>
                <w:b/>
              </w:rPr>
            </w:pPr>
            <w:r w:rsidRPr="0018065F">
              <w:rPr>
                <w:b/>
              </w:rPr>
              <w:t xml:space="preserve">Procedure </w:t>
            </w:r>
          </w:p>
        </w:tc>
        <w:tc>
          <w:tcPr>
            <w:tcW w:w="6835" w:type="dxa"/>
          </w:tcPr>
          <w:p w:rsidR="0027651C" w:rsidRDefault="0027651C" w:rsidP="0013402A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>
              <w:t xml:space="preserve">Spray the cornea with topical anesthetic </w:t>
            </w:r>
          </w:p>
          <w:p w:rsidR="0013402A" w:rsidRDefault="0013402A" w:rsidP="0013402A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>
              <w:t>Retract the upper and lower eye lids with your non-dominant hand or have an assistant to do so.</w:t>
            </w:r>
          </w:p>
          <w:p w:rsidR="0013402A" w:rsidRDefault="0013402A" w:rsidP="0013402A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>
              <w:t>Rest your dominant hand with the syringe and medication in on the side of the animal’s head or jus</w:t>
            </w:r>
            <w:bookmarkStart w:id="0" w:name="_GoBack"/>
            <w:bookmarkEnd w:id="0"/>
            <w:r>
              <w:t>t below the eye. This aids in stabilizing the hand when administering the medication.</w:t>
            </w:r>
          </w:p>
          <w:p w:rsidR="0013402A" w:rsidRDefault="0013402A" w:rsidP="0013402A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>
              <w:t>The needle (with syringe containing the medication is attached) is inserted bevel upwards through the dorsal bulbar conjunctiva.</w:t>
            </w:r>
          </w:p>
          <w:p w:rsidR="0013402A" w:rsidRDefault="0013402A" w:rsidP="0013402A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>
              <w:t xml:space="preserve">The syringe content is then slowly deposited. A </w:t>
            </w:r>
            <w:proofErr w:type="spellStart"/>
            <w:r>
              <w:t>subconjunctival</w:t>
            </w:r>
            <w:proofErr w:type="spellEnd"/>
            <w:r>
              <w:t xml:space="preserve"> bleb will appear at the site of injection. 0.5ml to 1ml at the site of injection only.</w:t>
            </w:r>
          </w:p>
          <w:p w:rsidR="0018065F" w:rsidRDefault="0013402A" w:rsidP="0013402A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>
              <w:t xml:space="preserve">Gently remove the needle from the </w:t>
            </w:r>
            <w:proofErr w:type="spellStart"/>
            <w:r>
              <w:t>subconjunctival</w:t>
            </w:r>
            <w:proofErr w:type="spellEnd"/>
            <w:r>
              <w:t xml:space="preserve"> bleb.</w:t>
            </w:r>
          </w:p>
        </w:tc>
      </w:tr>
      <w:tr w:rsidR="004901AB" w:rsidTr="0018065F">
        <w:tc>
          <w:tcPr>
            <w:tcW w:w="2515" w:type="dxa"/>
          </w:tcPr>
          <w:p w:rsidR="004901AB" w:rsidRPr="0018065F" w:rsidRDefault="004901AB" w:rsidP="004901AB">
            <w:pPr>
              <w:spacing w:line="360" w:lineRule="auto"/>
              <w:rPr>
                <w:b/>
              </w:rPr>
            </w:pPr>
            <w:r w:rsidRPr="0018065F">
              <w:rPr>
                <w:b/>
              </w:rPr>
              <w:t xml:space="preserve">Advantages </w:t>
            </w:r>
          </w:p>
        </w:tc>
        <w:tc>
          <w:tcPr>
            <w:tcW w:w="6835" w:type="dxa"/>
          </w:tcPr>
          <w:p w:rsidR="0018065F" w:rsidRDefault="0018065F" w:rsidP="0018065F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t>Markedly increased penetration of water soluble drugs</w:t>
            </w:r>
          </w:p>
          <w:p w:rsidR="0018065F" w:rsidRDefault="0018065F" w:rsidP="0018065F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lastRenderedPageBreak/>
              <w:t>Short term high concentrations of drugs in cornea and anterior segment</w:t>
            </w:r>
          </w:p>
          <w:p w:rsidR="004901AB" w:rsidRDefault="0018065F" w:rsidP="0018065F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t>Supplement to topical therapy</w:t>
            </w:r>
          </w:p>
        </w:tc>
      </w:tr>
      <w:tr w:rsidR="004901AB" w:rsidTr="0018065F">
        <w:tc>
          <w:tcPr>
            <w:tcW w:w="2515" w:type="dxa"/>
          </w:tcPr>
          <w:p w:rsidR="004901AB" w:rsidRPr="0018065F" w:rsidRDefault="004901AB" w:rsidP="004901AB">
            <w:pPr>
              <w:spacing w:line="360" w:lineRule="auto"/>
              <w:rPr>
                <w:b/>
              </w:rPr>
            </w:pPr>
            <w:r w:rsidRPr="0018065F">
              <w:rPr>
                <w:b/>
              </w:rPr>
              <w:lastRenderedPageBreak/>
              <w:t xml:space="preserve">Disadvantages </w:t>
            </w:r>
          </w:p>
        </w:tc>
        <w:tc>
          <w:tcPr>
            <w:tcW w:w="6835" w:type="dxa"/>
          </w:tcPr>
          <w:p w:rsidR="0018065F" w:rsidRDefault="0018065F" w:rsidP="0018065F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>
              <w:t>Local irritation, residues, necrosis and granuloma formation can occur at the site of injection</w:t>
            </w:r>
          </w:p>
          <w:p w:rsidR="0018065F" w:rsidRDefault="005D515E" w:rsidP="0018065F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>
              <w:t>Once injected the drug</w:t>
            </w:r>
            <w:r w:rsidR="0018065F">
              <w:t xml:space="preserve"> cannot be removed</w:t>
            </w:r>
          </w:p>
          <w:p w:rsidR="0018065F" w:rsidRDefault="0018065F" w:rsidP="0018065F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>
              <w:t>Temporary pain at site of injection</w:t>
            </w:r>
          </w:p>
          <w:p w:rsidR="004901AB" w:rsidRDefault="0018065F" w:rsidP="0018065F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>
              <w:t>Injection is quite difficult with potential for injury to eye</w:t>
            </w:r>
          </w:p>
        </w:tc>
      </w:tr>
      <w:tr w:rsidR="0018065F" w:rsidTr="0018065F">
        <w:tc>
          <w:tcPr>
            <w:tcW w:w="2515" w:type="dxa"/>
          </w:tcPr>
          <w:p w:rsidR="0018065F" w:rsidRPr="0018065F" w:rsidRDefault="0082495B" w:rsidP="004901AB">
            <w:pPr>
              <w:spacing w:line="360" w:lineRule="auto"/>
              <w:rPr>
                <w:b/>
              </w:rPr>
            </w:pPr>
            <w:r>
              <w:rPr>
                <w:b/>
              </w:rPr>
              <w:t>Potential</w:t>
            </w:r>
            <w:r w:rsidR="0018065F" w:rsidRPr="0018065F">
              <w:rPr>
                <w:b/>
              </w:rPr>
              <w:t xml:space="preserve"> Complications </w:t>
            </w:r>
          </w:p>
        </w:tc>
        <w:tc>
          <w:tcPr>
            <w:tcW w:w="6835" w:type="dxa"/>
          </w:tcPr>
          <w:p w:rsidR="0018065F" w:rsidRDefault="0018065F" w:rsidP="0018065F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>Granuloma formation</w:t>
            </w:r>
          </w:p>
          <w:p w:rsidR="008A1297" w:rsidRDefault="008A1297" w:rsidP="008A1297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 xml:space="preserve">If the animal is not adequately restrained, there is a risk of accidental needle stick injury to the cornea/sclera/orbit </w:t>
            </w:r>
          </w:p>
          <w:p w:rsidR="008A1297" w:rsidRDefault="008A1297" w:rsidP="008A1297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 xml:space="preserve">If inappropriate drugs are injected into the </w:t>
            </w:r>
            <w:proofErr w:type="spellStart"/>
            <w:r>
              <w:t>subconjunctiva</w:t>
            </w:r>
            <w:proofErr w:type="spellEnd"/>
            <w:r>
              <w:t>, this could lead to discomfort for the animal (</w:t>
            </w:r>
            <w:proofErr w:type="spellStart"/>
            <w:r>
              <w:t>blephrospasm</w:t>
            </w:r>
            <w:proofErr w:type="spellEnd"/>
            <w:r>
              <w:t xml:space="preserve">, </w:t>
            </w:r>
            <w:proofErr w:type="spellStart"/>
            <w:r>
              <w:t>epiphora</w:t>
            </w:r>
            <w:proofErr w:type="spellEnd"/>
            <w:r>
              <w:t xml:space="preserve"> and narrowing of the palpebral fissure)</w:t>
            </w:r>
          </w:p>
        </w:tc>
      </w:tr>
    </w:tbl>
    <w:p w:rsidR="0070518C" w:rsidRDefault="0070518C"/>
    <w:sectPr w:rsidR="00705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51235"/>
    <w:multiLevelType w:val="hybridMultilevel"/>
    <w:tmpl w:val="50EE1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E19DF"/>
    <w:multiLevelType w:val="hybridMultilevel"/>
    <w:tmpl w:val="7F100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10D0C"/>
    <w:multiLevelType w:val="hybridMultilevel"/>
    <w:tmpl w:val="9448F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22734"/>
    <w:multiLevelType w:val="hybridMultilevel"/>
    <w:tmpl w:val="D2CC91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31FF3"/>
    <w:multiLevelType w:val="hybridMultilevel"/>
    <w:tmpl w:val="CE9E05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F624C"/>
    <w:multiLevelType w:val="hybridMultilevel"/>
    <w:tmpl w:val="70D4F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9449D"/>
    <w:multiLevelType w:val="hybridMultilevel"/>
    <w:tmpl w:val="DF9E6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E29AF"/>
    <w:multiLevelType w:val="hybridMultilevel"/>
    <w:tmpl w:val="CCDED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AB"/>
    <w:rsid w:val="0013402A"/>
    <w:rsid w:val="0018065F"/>
    <w:rsid w:val="0027651C"/>
    <w:rsid w:val="002C6BB8"/>
    <w:rsid w:val="004901AB"/>
    <w:rsid w:val="005D515E"/>
    <w:rsid w:val="006E68C7"/>
    <w:rsid w:val="0070518C"/>
    <w:rsid w:val="00815000"/>
    <w:rsid w:val="0082495B"/>
    <w:rsid w:val="008A1297"/>
    <w:rsid w:val="00AE014D"/>
    <w:rsid w:val="00B2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9201D"/>
  <w15:chartTrackingRefBased/>
  <w15:docId w15:val="{EE2DC121-8BAC-4097-8AED-420D248D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0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Danielle-Marie De Gannes</dc:creator>
  <cp:keywords/>
  <dc:description/>
  <cp:lastModifiedBy>Danielle-Marie De Gannes</cp:lastModifiedBy>
  <cp:revision>6</cp:revision>
  <dcterms:created xsi:type="dcterms:W3CDTF">2021-10-23T12:40:00Z</dcterms:created>
  <dcterms:modified xsi:type="dcterms:W3CDTF">2021-10-25T02:09:00Z</dcterms:modified>
</cp:coreProperties>
</file>