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570D" w14:textId="77777777" w:rsidR="00AE5B4F" w:rsidRDefault="00AE5B4F">
      <w:pPr>
        <w:rPr>
          <w:rFonts w:ascii="Times New Roman" w:eastAsia="Times New Roman" w:hAnsi="Times New Roman" w:cs="Times New Roman"/>
          <w:b/>
        </w:rPr>
      </w:pPr>
    </w:p>
    <w:p w14:paraId="221A9C17" w14:textId="22CC791A" w:rsidR="00AE5B4F" w:rsidRPr="00B76209" w:rsidRDefault="00976073">
      <w:pPr>
        <w:rPr>
          <w:rFonts w:asciiTheme="majorHAnsi" w:eastAsia="Times New Roman" w:hAnsiTheme="majorHAnsi" w:cstheme="majorHAnsi"/>
          <w:b/>
        </w:rPr>
      </w:pPr>
      <w:r w:rsidRPr="00B76209">
        <w:rPr>
          <w:rFonts w:asciiTheme="majorHAnsi" w:eastAsia="Times New Roman" w:hAnsiTheme="majorHAnsi" w:cstheme="majorHAnsi"/>
          <w:b/>
          <w:highlight w:val="yellow"/>
        </w:rPr>
        <w:t xml:space="preserve">Pretend the severed Head we practiced ocular surgeries on is attached to </w:t>
      </w:r>
      <w:r w:rsidR="00B76209" w:rsidRPr="00B76209">
        <w:rPr>
          <w:rFonts w:asciiTheme="majorHAnsi" w:eastAsia="Times New Roman" w:hAnsiTheme="majorHAnsi" w:cstheme="majorHAnsi"/>
          <w:b/>
          <w:highlight w:val="yellow"/>
        </w:rPr>
        <w:t xml:space="preserve">an animal whose weight is </w:t>
      </w:r>
      <w:r w:rsidR="00B76209" w:rsidRPr="00B76209">
        <w:rPr>
          <w:rFonts w:asciiTheme="majorHAnsi" w:eastAsia="Times New Roman" w:hAnsiTheme="majorHAnsi" w:cstheme="majorHAnsi"/>
          <w:b/>
          <w:highlight w:val="yellow"/>
        </w:rPr>
        <w:t>400kg</w:t>
      </w:r>
    </w:p>
    <w:tbl>
      <w:tblPr>
        <w:tblStyle w:val="a"/>
        <w:tblW w:w="15240" w:type="dxa"/>
        <w:tblInd w:w="-1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5"/>
        <w:gridCol w:w="1580"/>
        <w:gridCol w:w="2190"/>
        <w:gridCol w:w="3195"/>
        <w:gridCol w:w="2035"/>
        <w:gridCol w:w="1080"/>
        <w:gridCol w:w="1730"/>
        <w:gridCol w:w="2295"/>
      </w:tblGrid>
      <w:tr w:rsidR="00AE5B4F" w:rsidRPr="00B76209" w14:paraId="5C051FC3" w14:textId="77777777" w:rsidTr="00F55116">
        <w:trPr>
          <w:trHeight w:val="600"/>
        </w:trPr>
        <w:tc>
          <w:tcPr>
            <w:tcW w:w="1135" w:type="dxa"/>
            <w:shd w:val="clear" w:color="auto" w:fill="403152" w:themeFill="accent4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D653" w14:textId="77777777" w:rsidR="00AE5B4F" w:rsidRPr="00B76209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B76209">
              <w:rPr>
                <w:rFonts w:asciiTheme="majorHAnsi" w:eastAsia="Times New Roman" w:hAnsiTheme="majorHAnsi" w:cstheme="majorHAnsi"/>
                <w:b/>
              </w:rPr>
              <w:t xml:space="preserve">Drug </w:t>
            </w:r>
          </w:p>
        </w:tc>
        <w:tc>
          <w:tcPr>
            <w:tcW w:w="1580" w:type="dxa"/>
            <w:shd w:val="clear" w:color="auto" w:fill="403152" w:themeFill="accent4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5224B" w14:textId="1AAC219D" w:rsidR="00AE5B4F" w:rsidRPr="00B76209" w:rsidRDefault="00B76209" w:rsidP="00F5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B76209">
              <w:rPr>
                <w:rFonts w:asciiTheme="majorHAnsi" w:eastAsia="Times New Roman" w:hAnsiTheme="majorHAnsi" w:cstheme="majorHAnsi"/>
                <w:b/>
              </w:rPr>
              <w:t>Active Ingredient</w:t>
            </w:r>
          </w:p>
        </w:tc>
        <w:tc>
          <w:tcPr>
            <w:tcW w:w="2190" w:type="dxa"/>
            <w:shd w:val="clear" w:color="auto" w:fill="403152" w:themeFill="accent4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15FB4" w14:textId="77777777" w:rsidR="00AE5B4F" w:rsidRPr="00B76209" w:rsidRDefault="00B76209">
            <w:pPr>
              <w:widowControl w:val="0"/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B76209">
              <w:rPr>
                <w:rFonts w:asciiTheme="majorHAnsi" w:eastAsia="Times New Roman" w:hAnsiTheme="majorHAnsi" w:cstheme="majorHAnsi"/>
                <w:b/>
              </w:rPr>
              <w:t>Uses</w:t>
            </w:r>
          </w:p>
        </w:tc>
        <w:tc>
          <w:tcPr>
            <w:tcW w:w="3195" w:type="dxa"/>
            <w:shd w:val="clear" w:color="auto" w:fill="403152" w:themeFill="accent4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148AA" w14:textId="77777777" w:rsidR="00AE5B4F" w:rsidRPr="00B76209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B76209">
              <w:rPr>
                <w:rFonts w:asciiTheme="majorHAnsi" w:eastAsia="Times New Roman" w:hAnsiTheme="majorHAnsi" w:cstheme="majorHAnsi"/>
                <w:b/>
              </w:rPr>
              <w:t xml:space="preserve">Contraindications </w:t>
            </w:r>
          </w:p>
        </w:tc>
        <w:tc>
          <w:tcPr>
            <w:tcW w:w="2035" w:type="dxa"/>
            <w:shd w:val="clear" w:color="auto" w:fill="403152" w:themeFill="accent4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D9E83" w14:textId="77777777" w:rsidR="00AE5B4F" w:rsidRPr="00B76209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B76209">
              <w:rPr>
                <w:rFonts w:asciiTheme="majorHAnsi" w:eastAsia="Times New Roman" w:hAnsiTheme="majorHAnsi" w:cstheme="majorHAnsi"/>
                <w:b/>
              </w:rPr>
              <w:t>Adverse effects</w:t>
            </w:r>
          </w:p>
        </w:tc>
        <w:tc>
          <w:tcPr>
            <w:tcW w:w="1080" w:type="dxa"/>
            <w:shd w:val="clear" w:color="auto" w:fill="403152" w:themeFill="accent4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6F211" w14:textId="77777777" w:rsidR="00AE5B4F" w:rsidRPr="00B76209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B76209">
              <w:rPr>
                <w:rFonts w:asciiTheme="majorHAnsi" w:eastAsia="Times New Roman" w:hAnsiTheme="majorHAnsi" w:cstheme="majorHAnsi"/>
                <w:b/>
              </w:rPr>
              <w:t>WDT</w:t>
            </w:r>
          </w:p>
        </w:tc>
        <w:tc>
          <w:tcPr>
            <w:tcW w:w="1730" w:type="dxa"/>
            <w:shd w:val="clear" w:color="auto" w:fill="403152" w:themeFill="accent4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12DEC" w14:textId="77777777" w:rsidR="00AE5B4F" w:rsidRPr="00B76209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B76209">
              <w:rPr>
                <w:rFonts w:asciiTheme="majorHAnsi" w:eastAsia="Times New Roman" w:hAnsiTheme="majorHAnsi" w:cstheme="majorHAnsi"/>
                <w:b/>
              </w:rPr>
              <w:t>Concentration and Dose</w:t>
            </w:r>
          </w:p>
        </w:tc>
        <w:tc>
          <w:tcPr>
            <w:tcW w:w="2295" w:type="dxa"/>
            <w:shd w:val="clear" w:color="auto" w:fill="403152" w:themeFill="accent4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95F8" w14:textId="77777777" w:rsidR="00AE5B4F" w:rsidRPr="00B76209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B76209">
              <w:rPr>
                <w:rFonts w:asciiTheme="majorHAnsi" w:eastAsia="Times New Roman" w:hAnsiTheme="majorHAnsi" w:cstheme="majorHAnsi"/>
                <w:b/>
              </w:rPr>
              <w:t>Calculations</w:t>
            </w:r>
          </w:p>
        </w:tc>
      </w:tr>
      <w:tr w:rsidR="00F55116" w:rsidRPr="00976073" w14:paraId="5313D353" w14:textId="77777777" w:rsidTr="00F55116">
        <w:tc>
          <w:tcPr>
            <w:tcW w:w="11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05F6B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976073">
              <w:rPr>
                <w:rFonts w:asciiTheme="majorHAnsi" w:eastAsia="Times New Roman" w:hAnsiTheme="majorHAnsi" w:cstheme="majorHAnsi"/>
                <w:b/>
              </w:rPr>
              <w:t xml:space="preserve">Xylazine </w:t>
            </w:r>
          </w:p>
        </w:tc>
        <w:tc>
          <w:tcPr>
            <w:tcW w:w="15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97512" w14:textId="58923975" w:rsidR="00AE5B4F" w:rsidRPr="00976073" w:rsidRDefault="00B76209" w:rsidP="00F5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Xylazine</w:t>
            </w:r>
          </w:p>
        </w:tc>
        <w:tc>
          <w:tcPr>
            <w:tcW w:w="21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D0E46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Alpha-2 adrenoceptor stimulant resulting in sedation, muscle relaxation and analgesia.</w:t>
            </w:r>
          </w:p>
          <w:p w14:paraId="0669925D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Short term sedation.</w:t>
            </w:r>
          </w:p>
          <w:p w14:paraId="1B20A1B9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Prior to ketamine for general anesthesia.</w:t>
            </w:r>
          </w:p>
        </w:tc>
        <w:tc>
          <w:tcPr>
            <w:tcW w:w="31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908ED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Do not use in: 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Animals with cardiac or respiratory disease;  animals with renal or hepatic failure; anima</w:t>
            </w:r>
            <w:r w:rsidRPr="00976073">
              <w:rPr>
                <w:rFonts w:asciiTheme="majorHAnsi" w:eastAsia="Times New Roman" w:hAnsiTheme="majorHAnsi" w:cstheme="majorHAnsi"/>
              </w:rPr>
              <w:t xml:space="preserve">ls with hypotension/hypovolemia; last trimester of pregnancy (except at parturition); cattle receiving ovum implants (the increased uterine tone caused by the xylazine may prevent implantation). </w:t>
            </w:r>
          </w:p>
          <w:p w14:paraId="00085A52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Do not give to ruminants that are debilitated, dehydrated, o</w:t>
            </w:r>
            <w:r w:rsidRPr="00976073">
              <w:rPr>
                <w:rFonts w:asciiTheme="majorHAnsi" w:eastAsia="Times New Roman" w:hAnsiTheme="majorHAnsi" w:cstheme="majorHAnsi"/>
              </w:rPr>
              <w:t>r with urinary tract obstruction.</w:t>
            </w:r>
          </w:p>
          <w:p w14:paraId="5B7DB6AE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Cattle are extremely sensitive to xylazine’s effects; be certain of dose and dosage form.</w:t>
            </w:r>
          </w:p>
        </w:tc>
        <w:tc>
          <w:tcPr>
            <w:tcW w:w="20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62894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Sweating, Piloerection, Tremors, Ruminal tympany, Hypersalivation, Diuresis, Prolapse of penis, Regurgitation, hypothermia, diarrhea</w:t>
            </w:r>
            <w:r w:rsidRPr="00976073">
              <w:rPr>
                <w:rFonts w:asciiTheme="majorHAnsi" w:eastAsia="Times New Roman" w:hAnsiTheme="majorHAnsi" w:cstheme="majorHAnsi"/>
              </w:rPr>
              <w:t>, bradycardia, premature parturition &amp; ataxia.</w:t>
            </w: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5E14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Meat: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14 days</w:t>
            </w:r>
          </w:p>
          <w:p w14:paraId="3E28F477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Milk: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 xml:space="preserve">48 </w:t>
            </w:r>
            <w:proofErr w:type="spellStart"/>
            <w:r w:rsidRPr="00976073">
              <w:rPr>
                <w:rFonts w:asciiTheme="majorHAnsi" w:eastAsia="Times New Roman" w:hAnsiTheme="majorHAnsi" w:cstheme="majorHAnsi"/>
              </w:rPr>
              <w:t>hrs</w:t>
            </w:r>
            <w:proofErr w:type="spellEnd"/>
          </w:p>
        </w:tc>
        <w:tc>
          <w:tcPr>
            <w:tcW w:w="17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75E59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Dose rate: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0.05 mg/kg</w:t>
            </w:r>
          </w:p>
          <w:p w14:paraId="1B2B47B6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Concentration: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20mg/ml</w:t>
            </w:r>
          </w:p>
        </w:tc>
        <w:tc>
          <w:tcPr>
            <w:tcW w:w="22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AE09D" w14:textId="77777777" w:rsidR="00AE5B4F" w:rsidRPr="00976073" w:rsidRDefault="00B76209">
            <w:pPr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V = (D x W)/C</w:t>
            </w:r>
          </w:p>
          <w:p w14:paraId="2D37DC86" w14:textId="77777777" w:rsidR="00AE5B4F" w:rsidRPr="00976073" w:rsidRDefault="00B76209">
            <w:pPr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V= (0.05 x 400)/20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 xml:space="preserve">   = 1ml</w:t>
            </w:r>
          </w:p>
        </w:tc>
      </w:tr>
      <w:tr w:rsidR="00F55116" w:rsidRPr="00976073" w14:paraId="5F728736" w14:textId="77777777" w:rsidTr="00F55116">
        <w:tc>
          <w:tcPr>
            <w:tcW w:w="11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EFE67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976073">
              <w:rPr>
                <w:rFonts w:asciiTheme="majorHAnsi" w:eastAsia="Times New Roman" w:hAnsiTheme="majorHAnsi" w:cstheme="majorHAnsi"/>
                <w:b/>
              </w:rPr>
              <w:t>Ketamine</w:t>
            </w:r>
          </w:p>
        </w:tc>
        <w:tc>
          <w:tcPr>
            <w:tcW w:w="15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29ACD" w14:textId="77777777" w:rsidR="00AE5B4F" w:rsidRPr="00976073" w:rsidRDefault="00B76209" w:rsidP="00F55116">
            <w:pP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2-(2-chlorophenyl)-2-(methylamino)cyclohexan-1</w:t>
            </w:r>
          </w:p>
        </w:tc>
        <w:tc>
          <w:tcPr>
            <w:tcW w:w="21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54BC" w14:textId="77777777" w:rsidR="00AE5B4F" w:rsidRPr="00976073" w:rsidRDefault="00B76209">
            <w:pP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Used to achieve general </w:t>
            </w:r>
            <w:proofErr w:type="spellStart"/>
            <w:r w:rsidRPr="00976073">
              <w:rPr>
                <w:rFonts w:asciiTheme="majorHAnsi" w:eastAsia="Times New Roman" w:hAnsiTheme="majorHAnsi" w:cstheme="majorHAnsi"/>
              </w:rPr>
              <w:t>anaesthesia</w:t>
            </w:r>
            <w:proofErr w:type="spellEnd"/>
            <w:r w:rsidRPr="00976073">
              <w:rPr>
                <w:rFonts w:asciiTheme="majorHAnsi" w:eastAsia="Times New Roman" w:hAnsiTheme="majorHAnsi" w:cstheme="majorHAnsi"/>
              </w:rPr>
              <w:t xml:space="preserve"> during surgery</w:t>
            </w:r>
          </w:p>
        </w:tc>
        <w:tc>
          <w:tcPr>
            <w:tcW w:w="31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474DB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Use in patients with significant hypertension, heart failure, and arterial aneurysms could be dangerous. Should not be used alone because it doesn’t cause mus</w:t>
            </w:r>
            <w:r w:rsidRPr="00976073">
              <w:rPr>
                <w:rFonts w:asciiTheme="majorHAnsi" w:eastAsia="Times New Roman" w:hAnsiTheme="majorHAnsi" w:cstheme="majorHAnsi"/>
              </w:rPr>
              <w:t>cle relaxation. Don’t use in animals with seizures</w:t>
            </w:r>
          </w:p>
        </w:tc>
        <w:tc>
          <w:tcPr>
            <w:tcW w:w="20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3E29F" w14:textId="77777777" w:rsidR="00AE5B4F" w:rsidRPr="00976073" w:rsidRDefault="00B76209">
            <w:pPr>
              <w:spacing w:before="200" w:after="16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Inability to move, rigid muscles; high body temperature; fast heartbeat; convulsions; coma </w:t>
            </w:r>
            <w:r w:rsidRPr="00976073">
              <w:rPr>
                <w:rFonts w:asciiTheme="majorHAnsi" w:eastAsia="Times New Roman" w:hAnsiTheme="majorHAnsi" w:cstheme="majorHAnsi"/>
              </w:rPr>
              <w:lastRenderedPageBreak/>
              <w:t>and ‘near death’ experiences; death</w:t>
            </w: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99C97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lastRenderedPageBreak/>
              <w:t>Meat: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3 days</w:t>
            </w:r>
          </w:p>
          <w:p w14:paraId="53D93ADA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Milk: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 xml:space="preserve">48 </w:t>
            </w:r>
            <w:proofErr w:type="spellStart"/>
            <w:r w:rsidRPr="00976073">
              <w:rPr>
                <w:rFonts w:asciiTheme="majorHAnsi" w:eastAsia="Times New Roman" w:hAnsiTheme="majorHAnsi" w:cstheme="majorHAnsi"/>
              </w:rPr>
              <w:t>hrs</w:t>
            </w:r>
            <w:proofErr w:type="spellEnd"/>
          </w:p>
        </w:tc>
        <w:tc>
          <w:tcPr>
            <w:tcW w:w="17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397EF" w14:textId="77777777" w:rsidR="00AE5B4F" w:rsidRPr="00976073" w:rsidRDefault="00B76209">
            <w:pPr>
              <w:keepNext/>
              <w:keepLines/>
              <w:spacing w:before="200" w:after="16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Concentration: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100mg/ml</w:t>
            </w:r>
          </w:p>
          <w:p w14:paraId="37D88464" w14:textId="77777777" w:rsidR="00AE5B4F" w:rsidRPr="00976073" w:rsidRDefault="00AE5B4F">
            <w:pPr>
              <w:keepNext/>
              <w:keepLines/>
              <w:spacing w:before="200" w:after="160" w:line="240" w:lineRule="auto"/>
              <w:rPr>
                <w:rFonts w:asciiTheme="majorHAnsi" w:eastAsia="Times New Roman" w:hAnsiTheme="majorHAnsi" w:cstheme="majorHAnsi"/>
              </w:rPr>
            </w:pPr>
          </w:p>
          <w:p w14:paraId="085BBEA2" w14:textId="77777777" w:rsidR="00AE5B4F" w:rsidRPr="00976073" w:rsidRDefault="00B76209">
            <w:pPr>
              <w:keepNext/>
              <w:keepLines/>
              <w:spacing w:before="200" w:after="16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Dose: 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2 mg/kg IV</w:t>
            </w:r>
          </w:p>
        </w:tc>
        <w:tc>
          <w:tcPr>
            <w:tcW w:w="22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CF936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V = (D x </w:t>
            </w:r>
            <w:r w:rsidRPr="00976073">
              <w:rPr>
                <w:rFonts w:asciiTheme="majorHAnsi" w:eastAsia="Times New Roman" w:hAnsiTheme="majorHAnsi" w:cstheme="majorHAnsi"/>
              </w:rPr>
              <w:t>W)/C</w:t>
            </w:r>
          </w:p>
          <w:p w14:paraId="00E1547A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V = (2 x 400)/100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 xml:space="preserve">    = 8ml</w:t>
            </w:r>
          </w:p>
        </w:tc>
      </w:tr>
      <w:tr w:rsidR="00F55116" w:rsidRPr="00976073" w14:paraId="7683B03D" w14:textId="77777777" w:rsidTr="00F55116">
        <w:tc>
          <w:tcPr>
            <w:tcW w:w="11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A19FB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976073">
              <w:rPr>
                <w:rFonts w:asciiTheme="majorHAnsi" w:eastAsia="Times New Roman" w:hAnsiTheme="majorHAnsi" w:cstheme="majorHAnsi"/>
                <w:b/>
              </w:rPr>
              <w:t>Lidocaine 2%</w:t>
            </w:r>
          </w:p>
        </w:tc>
        <w:tc>
          <w:tcPr>
            <w:tcW w:w="15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37EAF" w14:textId="7CB32AE5" w:rsidR="00AE5B4F" w:rsidRPr="00976073" w:rsidRDefault="00B76209" w:rsidP="00F5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Lidocaine Hydrochloride</w:t>
            </w:r>
          </w:p>
        </w:tc>
        <w:tc>
          <w:tcPr>
            <w:tcW w:w="21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FEADF" w14:textId="77777777" w:rsidR="00AE5B4F" w:rsidRPr="00976073" w:rsidRDefault="00B76209">
            <w:pPr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Blocks conduction of nerve fibers resulting in muscle paralysis and loss of sensation.</w:t>
            </w:r>
            <w:r w:rsidRPr="00976073">
              <w:rPr>
                <w:rFonts w:asciiTheme="majorHAnsi" w:eastAsia="Times New Roman" w:hAnsiTheme="majorHAnsi" w:cstheme="majorHAnsi"/>
              </w:rPr>
              <w:br/>
            </w:r>
            <w:r w:rsidRPr="00976073">
              <w:rPr>
                <w:rFonts w:asciiTheme="majorHAnsi" w:eastAsia="Times New Roman" w:hAnsiTheme="majorHAnsi" w:cstheme="majorHAnsi"/>
              </w:rPr>
              <w:t>Also blocks conduction pathways in myocardial cells, which is usually seen as a toxic effect of regional anesthesia but can be useful in the treatment of ventricular tachycardia.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A local anesthetic and a class 1B antiarrhythmic agent.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Used for topical, inf</w:t>
            </w:r>
            <w:r w:rsidRPr="00976073">
              <w:rPr>
                <w:rFonts w:asciiTheme="majorHAnsi" w:eastAsia="Times New Roman" w:hAnsiTheme="majorHAnsi" w:cstheme="majorHAnsi"/>
              </w:rPr>
              <w:t>iltration, intravenous, regional, and conduction anesthesia.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Extradural and spinal injection.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 xml:space="preserve">Decreases the rate of ventricular firing, action potential duration, absolute refractory period and </w:t>
            </w:r>
            <w:r w:rsidRPr="00976073">
              <w:rPr>
                <w:rFonts w:asciiTheme="majorHAnsi" w:eastAsia="Times New Roman" w:hAnsiTheme="majorHAnsi" w:cstheme="majorHAnsi"/>
              </w:rPr>
              <w:lastRenderedPageBreak/>
              <w:t>increases relative refractory period.</w:t>
            </w:r>
          </w:p>
        </w:tc>
        <w:tc>
          <w:tcPr>
            <w:tcW w:w="31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24B0D" w14:textId="77777777" w:rsidR="00AE5B4F" w:rsidRPr="00976073" w:rsidRDefault="00B76209">
            <w:pPr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lastRenderedPageBreak/>
              <w:t>When used with epinephri</w:t>
            </w:r>
            <w:r w:rsidRPr="00976073">
              <w:rPr>
                <w:rFonts w:asciiTheme="majorHAnsi" w:eastAsia="Times New Roman" w:hAnsiTheme="majorHAnsi" w:cstheme="majorHAnsi"/>
              </w:rPr>
              <w:t xml:space="preserve">ne </w:t>
            </w:r>
            <w:proofErr w:type="spellStart"/>
            <w:r w:rsidRPr="00976073">
              <w:rPr>
                <w:rFonts w:asciiTheme="majorHAnsi" w:eastAsia="Times New Roman" w:hAnsiTheme="majorHAnsi" w:cstheme="majorHAnsi"/>
              </w:rPr>
              <w:t>Epinephrine</w:t>
            </w:r>
            <w:proofErr w:type="spellEnd"/>
            <w:r w:rsidRPr="00976073">
              <w:rPr>
                <w:rFonts w:asciiTheme="majorHAnsi" w:eastAsia="Times New Roman" w:hAnsiTheme="majorHAnsi" w:cstheme="majorHAnsi"/>
              </w:rPr>
              <w:t>:</w:t>
            </w:r>
          </w:p>
          <w:p w14:paraId="7105E39F" w14:textId="77777777" w:rsidR="00AE5B4F" w:rsidRPr="00976073" w:rsidRDefault="00B76209">
            <w:pPr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Intra-articular administration.</w:t>
            </w:r>
          </w:p>
          <w:p w14:paraId="09FA49EB" w14:textId="77777777" w:rsidR="00AE5B4F" w:rsidRPr="00976073" w:rsidRDefault="00B76209">
            <w:pPr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Epidural administration </w:t>
            </w:r>
          </w:p>
          <w:p w14:paraId="61F27949" w14:textId="77777777" w:rsidR="00AE5B4F" w:rsidRPr="00976073" w:rsidRDefault="00B76209">
            <w:pPr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976073">
              <w:rPr>
                <w:rFonts w:asciiTheme="majorHAnsi" w:eastAsia="Times New Roman" w:hAnsiTheme="majorHAnsi" w:cstheme="majorHAnsi"/>
              </w:rPr>
              <w:t>Intradigital</w:t>
            </w:r>
            <w:proofErr w:type="spellEnd"/>
            <w:r w:rsidRPr="00976073">
              <w:rPr>
                <w:rFonts w:asciiTheme="majorHAnsi" w:eastAsia="Times New Roman" w:hAnsiTheme="majorHAnsi" w:cstheme="majorHAnsi"/>
              </w:rPr>
              <w:t xml:space="preserve"> administration.</w:t>
            </w:r>
          </w:p>
          <w:p w14:paraId="2E23D936" w14:textId="77777777" w:rsidR="00AE5B4F" w:rsidRPr="00976073" w:rsidRDefault="00B76209">
            <w:pPr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Intravenous administration.</w:t>
            </w:r>
          </w:p>
          <w:p w14:paraId="3050B17A" w14:textId="77777777" w:rsidR="00AE5B4F" w:rsidRPr="00976073" w:rsidRDefault="00B76209">
            <w:pPr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In the treatment of ventricular arrhythmias.</w:t>
            </w:r>
          </w:p>
          <w:p w14:paraId="22B56C64" w14:textId="77777777" w:rsidR="00AE5B4F" w:rsidRPr="00976073" w:rsidRDefault="00B76209">
            <w:pPr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Cardiac and hepatic insufficiency.</w:t>
            </w:r>
          </w:p>
          <w:p w14:paraId="250BEE5A" w14:textId="77777777" w:rsidR="00AE5B4F" w:rsidRPr="00976073" w:rsidRDefault="00AE5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0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3CB1C" w14:textId="77777777" w:rsidR="00AE5B4F" w:rsidRPr="00976073" w:rsidRDefault="00B76209">
            <w:pPr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Convulsions followed by CNS depression with overdoses</w:t>
            </w: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3D7E6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Meat: 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4 days</w:t>
            </w:r>
          </w:p>
          <w:p w14:paraId="528E6D84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Milk: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 xml:space="preserve">72 </w:t>
            </w:r>
            <w:proofErr w:type="spellStart"/>
            <w:r w:rsidRPr="00976073">
              <w:rPr>
                <w:rFonts w:asciiTheme="majorHAnsi" w:eastAsia="Times New Roman" w:hAnsiTheme="majorHAnsi" w:cstheme="majorHAnsi"/>
              </w:rPr>
              <w:t>hrs</w:t>
            </w:r>
            <w:proofErr w:type="spellEnd"/>
          </w:p>
          <w:p w14:paraId="3D0C4E6D" w14:textId="77777777" w:rsidR="00AE5B4F" w:rsidRPr="00976073" w:rsidRDefault="00AE5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6D89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Concentration: 20mg/ml</w:t>
            </w:r>
          </w:p>
          <w:p w14:paraId="7C5BF49C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Dose: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1.0mg/kg</w:t>
            </w:r>
          </w:p>
        </w:tc>
        <w:tc>
          <w:tcPr>
            <w:tcW w:w="22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40EB0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V = (D x W)/C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 xml:space="preserve">    = 1 x 400/20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 xml:space="preserve">    = 20ml</w:t>
            </w:r>
          </w:p>
          <w:p w14:paraId="72746641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In the case of anesthetizing the eye (subconjunctival injection) no more than 1ml should be gi</w:t>
            </w:r>
            <w:r w:rsidRPr="00976073">
              <w:rPr>
                <w:rFonts w:asciiTheme="majorHAnsi" w:eastAsia="Times New Roman" w:hAnsiTheme="majorHAnsi" w:cstheme="majorHAnsi"/>
              </w:rPr>
              <w:t>ven</w:t>
            </w:r>
          </w:p>
        </w:tc>
      </w:tr>
      <w:tr w:rsidR="00F55116" w:rsidRPr="00976073" w14:paraId="70F15B49" w14:textId="77777777" w:rsidTr="00F55116">
        <w:tc>
          <w:tcPr>
            <w:tcW w:w="11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D1244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proofErr w:type="spellStart"/>
            <w:r w:rsidRPr="00976073">
              <w:rPr>
                <w:rFonts w:asciiTheme="majorHAnsi" w:eastAsia="Times New Roman" w:hAnsiTheme="majorHAnsi" w:cstheme="majorHAnsi"/>
                <w:b/>
              </w:rPr>
              <w:t>Tolazine</w:t>
            </w:r>
            <w:proofErr w:type="spellEnd"/>
            <w:r w:rsidRPr="00976073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  <w:tc>
          <w:tcPr>
            <w:tcW w:w="15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28927" w14:textId="77777777" w:rsidR="00AE5B4F" w:rsidRPr="00976073" w:rsidRDefault="00B76209" w:rsidP="00F55116">
            <w:pPr>
              <w:pBdr>
                <w:bottom w:val="none" w:sz="0" w:space="6" w:color="auto"/>
              </w:pBdr>
              <w:shd w:val="clear" w:color="auto" w:fill="FFFFFF"/>
              <w:spacing w:before="200" w:after="24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Tolazoline hydrochloride.</w:t>
            </w:r>
          </w:p>
        </w:tc>
        <w:tc>
          <w:tcPr>
            <w:tcW w:w="21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47DD4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Sedative antagonist.</w:t>
            </w:r>
          </w:p>
          <w:p w14:paraId="4DEBEDA1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Alpha-adrenoceptor blocking drug</w:t>
            </w:r>
          </w:p>
          <w:p w14:paraId="6F081B7E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Reverses sedative effects of xylazine.</w:t>
            </w:r>
          </w:p>
          <w:p w14:paraId="2513A118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Xylazine is an alpha2-adrenoceptor agonist. Tolazoline blocks alpha2-adrenoreceptors and displaces xylazine from these sites.</w:t>
            </w:r>
          </w:p>
        </w:tc>
        <w:tc>
          <w:tcPr>
            <w:tcW w:w="31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D3FB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In animals showing signs of stress.</w:t>
            </w:r>
          </w:p>
          <w:p w14:paraId="162C4237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In debilitated animals.</w:t>
            </w:r>
          </w:p>
          <w:p w14:paraId="3AF4FF8A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In animals with cardiac disease.</w:t>
            </w:r>
          </w:p>
          <w:p w14:paraId="63FC1684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In animals with hypovolemia or shock</w:t>
            </w:r>
          </w:p>
        </w:tc>
        <w:tc>
          <w:tcPr>
            <w:tcW w:w="20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8A76F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Gastrointestinal disturbances</w:t>
            </w:r>
          </w:p>
          <w:p w14:paraId="563C333A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Tachycardia.</w:t>
            </w:r>
          </w:p>
          <w:p w14:paraId="5E86131B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Mild hypertension</w:t>
            </w: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E73F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Meat: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 xml:space="preserve">96 hours </w:t>
            </w:r>
          </w:p>
          <w:p w14:paraId="568F4011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Milk: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 xml:space="preserve">48 </w:t>
            </w:r>
            <w:proofErr w:type="spellStart"/>
            <w:r w:rsidRPr="00976073">
              <w:rPr>
                <w:rFonts w:asciiTheme="majorHAnsi" w:eastAsia="Times New Roman" w:hAnsiTheme="majorHAnsi" w:cstheme="majorHAnsi"/>
              </w:rPr>
              <w:t>hrs</w:t>
            </w:r>
            <w:proofErr w:type="spellEnd"/>
          </w:p>
        </w:tc>
        <w:tc>
          <w:tcPr>
            <w:tcW w:w="17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9A065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Concentration: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20mg/ml</w:t>
            </w:r>
          </w:p>
          <w:p w14:paraId="30AB22D3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Dose rate: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0.1mg/kg</w:t>
            </w:r>
          </w:p>
        </w:tc>
        <w:tc>
          <w:tcPr>
            <w:tcW w:w="22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3D437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V = (D x W)/C</w:t>
            </w:r>
          </w:p>
          <w:p w14:paraId="00D11A7A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V = (0.1 x 400)/20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 xml:space="preserve">    = 2 ml</w:t>
            </w:r>
          </w:p>
        </w:tc>
      </w:tr>
      <w:tr w:rsidR="00F55116" w:rsidRPr="00976073" w14:paraId="1BB8BB51" w14:textId="77777777" w:rsidTr="00F55116">
        <w:tc>
          <w:tcPr>
            <w:tcW w:w="11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7FCB9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  <w:b/>
              </w:rPr>
              <w:t>Proparacaine</w:t>
            </w:r>
            <w:r w:rsidRPr="00976073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15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73EAA" w14:textId="77777777" w:rsidR="00AE5B4F" w:rsidRPr="00976073" w:rsidRDefault="00B76209" w:rsidP="00F5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>Proparacaine Hydrochloride</w:t>
            </w:r>
          </w:p>
        </w:tc>
        <w:tc>
          <w:tcPr>
            <w:tcW w:w="21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BEA89" w14:textId="307F4E38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Anaesthetize</w:t>
            </w:r>
            <w:r w:rsidRPr="00976073">
              <w:rPr>
                <w:rFonts w:asciiTheme="majorHAnsi" w:eastAsia="Times New Roman" w:hAnsiTheme="majorHAnsi" w:cstheme="majorHAnsi"/>
              </w:rPr>
              <w:t xml:space="preserve"> the cornea of eye for examination, minor surgeries, removal of foreign bodies, catheterization or suture removal involving the eye.</w:t>
            </w:r>
          </w:p>
          <w:p w14:paraId="17913707" w14:textId="77777777" w:rsidR="00AE5B4F" w:rsidRPr="00976073" w:rsidRDefault="00AE5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</w:p>
          <w:p w14:paraId="38F8D64B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976073">
              <w:rPr>
                <w:rFonts w:asciiTheme="majorHAnsi" w:eastAsia="Times New Roman" w:hAnsiTheme="majorHAnsi" w:cstheme="majorHAnsi"/>
              </w:rPr>
              <w:t>Dont</w:t>
            </w:r>
            <w:proofErr w:type="spellEnd"/>
            <w:r w:rsidRPr="00976073">
              <w:rPr>
                <w:rFonts w:asciiTheme="majorHAnsi" w:eastAsia="Times New Roman" w:hAnsiTheme="majorHAnsi" w:cstheme="majorHAnsi"/>
              </w:rPr>
              <w:t xml:space="preserve"> affect the pupil size</w:t>
            </w:r>
          </w:p>
        </w:tc>
        <w:tc>
          <w:tcPr>
            <w:tcW w:w="31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1D16A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Prolonged use may produce permanent corneal opacification with visual loss</w:t>
            </w:r>
          </w:p>
        </w:tc>
        <w:tc>
          <w:tcPr>
            <w:tcW w:w="20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BA501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>Prolonged use may delay wound healing</w:t>
            </w: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5D481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None </w:t>
            </w:r>
          </w:p>
        </w:tc>
        <w:tc>
          <w:tcPr>
            <w:tcW w:w="17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63B17" w14:textId="77777777" w:rsidR="00AE5B4F" w:rsidRPr="00976073" w:rsidRDefault="00B76209">
            <w:pPr>
              <w:widowControl w:val="0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Rapid onset: within 1min and last for 15-30 mins</w:t>
            </w:r>
          </w:p>
        </w:tc>
        <w:tc>
          <w:tcPr>
            <w:tcW w:w="22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5E695" w14:textId="77777777" w:rsidR="00AE5B4F" w:rsidRPr="00976073" w:rsidRDefault="00B76209">
            <w:pPr>
              <w:widowControl w:val="0"/>
              <w:shd w:val="clear" w:color="auto" w:fill="FFFFFF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- For tonometry, instill 1 drop to 2 drops immediately before measurement is made.</w:t>
            </w:r>
          </w:p>
          <w:p w14:paraId="7B2B941A" w14:textId="77777777" w:rsidR="00AE5B4F" w:rsidRPr="00976073" w:rsidRDefault="00B76209">
            <w:pPr>
              <w:widowControl w:val="0"/>
              <w:shd w:val="clear" w:color="auto" w:fill="FFFFFF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- For use as an aid in the treatment of otitis, instill 2 drops into the ear eve</w:t>
            </w:r>
            <w:r w:rsidRPr="00976073">
              <w:rPr>
                <w:rFonts w:asciiTheme="majorHAnsi" w:eastAsia="Times New Roman" w:hAnsiTheme="majorHAnsi" w:cstheme="majorHAnsi"/>
              </w:rPr>
              <w:t>ry 5 minutes for 3 doses.</w:t>
            </w:r>
          </w:p>
          <w:p w14:paraId="51DDAF91" w14:textId="77777777" w:rsidR="00AE5B4F" w:rsidRPr="00976073" w:rsidRDefault="00B76209">
            <w:pPr>
              <w:widowControl w:val="0"/>
              <w:shd w:val="clear" w:color="auto" w:fill="FFFFFF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- For minor surgery, instill 1 drop or more </w:t>
            </w:r>
            <w:r w:rsidRPr="00976073">
              <w:rPr>
                <w:rFonts w:asciiTheme="majorHAnsi" w:eastAsia="Times New Roman" w:hAnsiTheme="majorHAnsi" w:cstheme="majorHAnsi"/>
              </w:rPr>
              <w:lastRenderedPageBreak/>
              <w:t>drops, as required.</w:t>
            </w:r>
          </w:p>
          <w:p w14:paraId="40A52CE9" w14:textId="77777777" w:rsidR="00AE5B4F" w:rsidRPr="00976073" w:rsidRDefault="00AE5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F55116" w:rsidRPr="00976073" w14:paraId="252D8D15" w14:textId="77777777" w:rsidTr="00F55116">
        <w:trPr>
          <w:trHeight w:val="2325"/>
        </w:trPr>
        <w:tc>
          <w:tcPr>
            <w:tcW w:w="11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6CFA5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proofErr w:type="spellStart"/>
            <w:r w:rsidRPr="00976073">
              <w:rPr>
                <w:rFonts w:asciiTheme="majorHAnsi" w:eastAsia="Times New Roman" w:hAnsiTheme="majorHAnsi" w:cstheme="majorHAnsi"/>
                <w:b/>
              </w:rPr>
              <w:lastRenderedPageBreak/>
              <w:t>Combikel</w:t>
            </w:r>
            <w:proofErr w:type="spellEnd"/>
            <w:r w:rsidRPr="00976073">
              <w:rPr>
                <w:rFonts w:asciiTheme="majorHAnsi" w:eastAsia="Times New Roman" w:hAnsiTheme="majorHAnsi" w:cstheme="majorHAnsi"/>
                <w:b/>
              </w:rPr>
              <w:t xml:space="preserve"> 40 L.A.</w:t>
            </w:r>
          </w:p>
        </w:tc>
        <w:tc>
          <w:tcPr>
            <w:tcW w:w="15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8AFC7" w14:textId="77777777" w:rsidR="00AE5B4F" w:rsidRPr="00976073" w:rsidRDefault="00B76209" w:rsidP="00F5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Pen-strep (procaine benzylpenicillin, dihydrostreptomycin sulphate)</w:t>
            </w:r>
          </w:p>
        </w:tc>
        <w:tc>
          <w:tcPr>
            <w:tcW w:w="21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C4008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An antibiotic which is capable of combating gram positive and gram-negative bacteria</w:t>
            </w:r>
          </w:p>
        </w:tc>
        <w:tc>
          <w:tcPr>
            <w:tcW w:w="31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4B79" w14:textId="585C2558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Do not use on animals with septicemia</w:t>
            </w:r>
            <w:r w:rsidRPr="00976073">
              <w:rPr>
                <w:rFonts w:asciiTheme="majorHAnsi" w:eastAsia="Times New Roman" w:hAnsiTheme="majorHAnsi" w:cstheme="majorHAnsi"/>
              </w:rPr>
              <w:t>, shock, or other grave illnesses as absorption of the medication from the GI tract may be significantly delayed or diminished.</w:t>
            </w:r>
          </w:p>
        </w:tc>
        <w:tc>
          <w:tcPr>
            <w:tcW w:w="20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92F43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Hyper</w:t>
            </w:r>
            <w:r w:rsidRPr="00976073">
              <w:rPr>
                <w:rFonts w:asciiTheme="majorHAnsi" w:eastAsia="Times New Roman" w:hAnsiTheme="majorHAnsi" w:cstheme="majorHAnsi"/>
              </w:rPr>
              <w:t>sensitivity and CNS effects</w:t>
            </w: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6C9B3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Meat: 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30 days</w:t>
            </w:r>
          </w:p>
          <w:p w14:paraId="02449FE4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Milk: 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10 days</w:t>
            </w:r>
          </w:p>
          <w:p w14:paraId="1DB68DDD" w14:textId="77777777" w:rsidR="00AE5B4F" w:rsidRPr="00976073" w:rsidRDefault="00AE5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D1091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Dose Rate: 40,000 IU/kg</w:t>
            </w:r>
          </w:p>
          <w:p w14:paraId="1621897F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Concentration: 200,000 IU/ml</w:t>
            </w:r>
          </w:p>
        </w:tc>
        <w:tc>
          <w:tcPr>
            <w:tcW w:w="22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47DEB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V = (D x W)/C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V= (40,000 x 400)/200,000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 xml:space="preserve">   = 80 ml</w:t>
            </w:r>
          </w:p>
          <w:p w14:paraId="047F5D5E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Administered twice every 3 days. </w:t>
            </w:r>
          </w:p>
        </w:tc>
      </w:tr>
      <w:tr w:rsidR="00F55116" w:rsidRPr="00976073" w14:paraId="0A3C4478" w14:textId="77777777" w:rsidTr="00F55116">
        <w:tc>
          <w:tcPr>
            <w:tcW w:w="11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A1F5E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976073">
              <w:rPr>
                <w:rFonts w:asciiTheme="majorHAnsi" w:eastAsia="Times New Roman" w:hAnsiTheme="majorHAnsi" w:cstheme="majorHAnsi"/>
                <w:b/>
              </w:rPr>
              <w:t xml:space="preserve">Banamine </w:t>
            </w:r>
          </w:p>
        </w:tc>
        <w:tc>
          <w:tcPr>
            <w:tcW w:w="15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23097" w14:textId="00819AE4" w:rsidR="00AE5B4F" w:rsidRPr="00976073" w:rsidRDefault="00B76209" w:rsidP="00F5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Flunixin meglumine</w:t>
            </w:r>
          </w:p>
        </w:tc>
        <w:tc>
          <w:tcPr>
            <w:tcW w:w="21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E9B9" w14:textId="77777777" w:rsidR="00AE5B4F" w:rsidRPr="00976073" w:rsidRDefault="00B76209">
            <w:pPr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Cattle: acute respiratory disease, acute coliform mastitis with endotoxic shock, pain (downer cow), and calf diarrhoea.</w:t>
            </w:r>
          </w:p>
        </w:tc>
        <w:tc>
          <w:tcPr>
            <w:tcW w:w="31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92205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Do not use it in cows with hypersensitivity reactions. The IM route is extra-label in cattle and should only be used when the IV route i</w:t>
            </w:r>
            <w:r w:rsidRPr="00976073">
              <w:rPr>
                <w:rFonts w:asciiTheme="majorHAnsi" w:eastAsia="Times New Roman" w:hAnsiTheme="majorHAnsi" w:cstheme="majorHAnsi"/>
              </w:rPr>
              <w:t>s not feasible for use. Longer withdrawal times would be required after IM use. Flunixin should not be used in an attempt to ambulate cattle to be shipped for slaughter.</w:t>
            </w:r>
          </w:p>
        </w:tc>
        <w:tc>
          <w:tcPr>
            <w:tcW w:w="20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ADC0E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Causes anaphylactic reactions, Gastrointestinal irritation, ulceration,</w:t>
            </w:r>
          </w:p>
          <w:p w14:paraId="6D88CE70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Plasma protein</w:t>
            </w:r>
            <w:r w:rsidRPr="00976073">
              <w:rPr>
                <w:rFonts w:asciiTheme="majorHAnsi" w:eastAsia="Times New Roman" w:hAnsiTheme="majorHAnsi" w:cstheme="majorHAnsi"/>
              </w:rPr>
              <w:t>-losing enteropathy,</w:t>
            </w:r>
          </w:p>
          <w:p w14:paraId="34649839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Vomiting. Skin rash can also occur</w:t>
            </w: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8E2A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12-48 hours for milk cows and 5-14 days for beef</w:t>
            </w:r>
          </w:p>
        </w:tc>
        <w:tc>
          <w:tcPr>
            <w:tcW w:w="17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A915C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Dosage: 2.2mg/kg     </w:t>
            </w:r>
          </w:p>
          <w:p w14:paraId="553767CA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 </w:t>
            </w:r>
          </w:p>
          <w:p w14:paraId="4995837A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Concentration: 50mg/ml</w:t>
            </w:r>
          </w:p>
        </w:tc>
        <w:tc>
          <w:tcPr>
            <w:tcW w:w="22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1CA06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V= (D x W)/C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V= (2.2 x 400)/50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 xml:space="preserve">   = 17.6ml</w:t>
            </w:r>
          </w:p>
          <w:p w14:paraId="7C0FEE77" w14:textId="77777777" w:rsidR="00AE5B4F" w:rsidRPr="00976073" w:rsidRDefault="00AE5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F55116" w:rsidRPr="00976073" w14:paraId="3BB9E311" w14:textId="77777777" w:rsidTr="00F55116">
        <w:tc>
          <w:tcPr>
            <w:tcW w:w="11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B5F2C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976073">
              <w:rPr>
                <w:rFonts w:asciiTheme="majorHAnsi" w:eastAsia="Times New Roman" w:hAnsiTheme="majorHAnsi" w:cstheme="majorHAnsi"/>
                <w:b/>
              </w:rPr>
              <w:t xml:space="preserve">Tetanus </w:t>
            </w:r>
          </w:p>
        </w:tc>
        <w:tc>
          <w:tcPr>
            <w:tcW w:w="15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F01F0" w14:textId="77777777" w:rsidR="00AE5B4F" w:rsidRPr="00976073" w:rsidRDefault="00B76209" w:rsidP="00F5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Tetanus antitoxin</w:t>
            </w:r>
          </w:p>
        </w:tc>
        <w:tc>
          <w:tcPr>
            <w:tcW w:w="21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A1DB2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It is recommended for use whenever a non-immunized animal, or one whose immune status is unknown, suffers a deep penetrating wound that has or may </w:t>
            </w:r>
            <w:r w:rsidRPr="00976073">
              <w:rPr>
                <w:rFonts w:asciiTheme="majorHAnsi" w:eastAsia="Times New Roman" w:hAnsiTheme="majorHAnsi" w:cstheme="majorHAnsi"/>
              </w:rPr>
              <w:lastRenderedPageBreak/>
              <w:t>become contaminated with soil. Used especially in goats to neutralize tetanus toxins.</w:t>
            </w:r>
          </w:p>
        </w:tc>
        <w:tc>
          <w:tcPr>
            <w:tcW w:w="31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1F068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lastRenderedPageBreak/>
              <w:t xml:space="preserve">Do not use animals who </w:t>
            </w:r>
            <w:r w:rsidRPr="00976073">
              <w:rPr>
                <w:rFonts w:asciiTheme="majorHAnsi" w:eastAsia="Times New Roman" w:hAnsiTheme="majorHAnsi" w:cstheme="majorHAnsi"/>
              </w:rPr>
              <w:t>have a history of hypersensitivity reactions.</w:t>
            </w:r>
          </w:p>
        </w:tc>
        <w:tc>
          <w:tcPr>
            <w:tcW w:w="20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AF34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Serum sickness</w:t>
            </w:r>
          </w:p>
          <w:p w14:paraId="27EE4D89" w14:textId="77777777" w:rsidR="00AE5B4F" w:rsidRPr="00976073" w:rsidRDefault="00AE5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</w:p>
          <w:p w14:paraId="7C214CF8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May cause anaphylactic shock</w:t>
            </w: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2BBE2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Meat: 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21 days</w:t>
            </w:r>
          </w:p>
          <w:p w14:paraId="2C3E9542" w14:textId="77777777" w:rsidR="00AE5B4F" w:rsidRPr="00976073" w:rsidRDefault="00AE5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</w:p>
          <w:p w14:paraId="77F0DBBE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Milk: 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24 hours</w:t>
            </w:r>
          </w:p>
        </w:tc>
        <w:tc>
          <w:tcPr>
            <w:tcW w:w="17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AEEE6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Dose rate:</w:t>
            </w:r>
          </w:p>
          <w:p w14:paraId="001BD689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1-2 mg/kg</w:t>
            </w:r>
          </w:p>
          <w:p w14:paraId="4701E550" w14:textId="77777777" w:rsidR="00AE5B4F" w:rsidRPr="00976073" w:rsidRDefault="00AE5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</w:p>
          <w:p w14:paraId="2EC719F6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1500 units SC/IM for </w:t>
            </w:r>
            <w:r w:rsidRPr="00976073">
              <w:rPr>
                <w:rFonts w:asciiTheme="majorHAnsi" w:eastAsia="Times New Roman" w:hAnsiTheme="majorHAnsi" w:cstheme="majorHAnsi"/>
              </w:rPr>
              <w:lastRenderedPageBreak/>
              <w:t>prevention</w:t>
            </w:r>
          </w:p>
        </w:tc>
        <w:tc>
          <w:tcPr>
            <w:tcW w:w="22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C9CF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lastRenderedPageBreak/>
              <w:t xml:space="preserve">Prevention Dosage: </w:t>
            </w: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br/>
              <w:t>1,500 units SC/IM</w:t>
            </w:r>
          </w:p>
        </w:tc>
      </w:tr>
      <w:tr w:rsidR="00AE5B4F" w:rsidRPr="00976073" w14:paraId="1E4A87CD" w14:textId="77777777" w:rsidTr="00F55116">
        <w:trPr>
          <w:trHeight w:val="9105"/>
        </w:trPr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C6FC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976073">
              <w:rPr>
                <w:rFonts w:asciiTheme="majorHAnsi" w:eastAsia="Times New Roman" w:hAnsiTheme="majorHAnsi" w:cstheme="majorHAnsi"/>
                <w:b/>
              </w:rPr>
              <w:lastRenderedPageBreak/>
              <w:t>Povidone -iodine solution</w:t>
            </w:r>
          </w:p>
        </w:tc>
        <w:tc>
          <w:tcPr>
            <w:tcW w:w="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69A26" w14:textId="77777777" w:rsidR="00AE5B4F" w:rsidRPr="00976073" w:rsidRDefault="00B76209" w:rsidP="00F55116">
            <w:pP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>Povidone- Iodine (titratable iodine 1.0%)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46D28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  <w:highlight w:val="white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 xml:space="preserve">A germicidal cleanser for preoperative and postoperative skin washing, and shampoo for bacterial and fungal skin infections in animals. </w:t>
            </w:r>
          </w:p>
          <w:p w14:paraId="4DEC9110" w14:textId="77777777" w:rsidR="00AE5B4F" w:rsidRPr="00976073" w:rsidRDefault="00B76209">
            <w:pP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>Helps prevent infection in cuts, scratches, abrasions, and burns. Non-staining to skin, hair, and natural fabrics.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604A2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When</w:t>
            </w:r>
            <w:r w:rsidRPr="00976073">
              <w:rPr>
                <w:rFonts w:asciiTheme="majorHAnsi" w:eastAsia="Times New Roman" w:hAnsiTheme="majorHAnsi" w:cstheme="majorHAnsi"/>
              </w:rPr>
              <w:t xml:space="preserve"> color is lost (reduced activity).</w:t>
            </w:r>
          </w:p>
          <w:p w14:paraId="3B6C6AF5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Do not use concurrently with other disinfectants, detergents or antiseptics.</w:t>
            </w:r>
          </w:p>
          <w:p w14:paraId="49500402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Strong solutions are ineffective.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93C0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Overstrength solutions don't work and may be toxic locally and systemically.</w:t>
            </w:r>
          </w:p>
          <w:p w14:paraId="004EEA1F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Hypersensitivity may occur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851AB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None </w:t>
            </w:r>
          </w:p>
        </w:tc>
        <w:tc>
          <w:tcPr>
            <w:tcW w:w="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205FC" w14:textId="77777777" w:rsidR="00AE5B4F" w:rsidRPr="00976073" w:rsidRDefault="00B76209">
            <w:pPr>
              <w:pBdr>
                <w:bottom w:val="none" w:sz="0" w:space="6" w:color="auto"/>
              </w:pBdr>
              <w:shd w:val="clear" w:color="auto" w:fill="FFFFFF"/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Requires contact time of 2 minutes at least for any effect. Rapid rinsing or removal is therefore counterproductive.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55F6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None indicated</w:t>
            </w:r>
          </w:p>
        </w:tc>
      </w:tr>
      <w:tr w:rsidR="00AE5B4F" w:rsidRPr="00976073" w14:paraId="7D7FC9EE" w14:textId="77777777" w:rsidTr="00F55116">
        <w:trPr>
          <w:trHeight w:val="5696"/>
        </w:trPr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87740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976073">
              <w:rPr>
                <w:rFonts w:asciiTheme="majorHAnsi" w:eastAsia="Times New Roman" w:hAnsiTheme="majorHAnsi" w:cstheme="majorHAnsi"/>
                <w:b/>
              </w:rPr>
              <w:lastRenderedPageBreak/>
              <w:t>Neomycin</w:t>
            </w:r>
          </w:p>
          <w:p w14:paraId="7313996E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976073">
              <w:rPr>
                <w:rFonts w:asciiTheme="majorHAnsi" w:eastAsia="Times New Roman" w:hAnsiTheme="majorHAnsi" w:cstheme="majorHAnsi"/>
                <w:b/>
              </w:rPr>
              <w:t>STERILE OINTMENT</w:t>
            </w:r>
          </w:p>
        </w:tc>
        <w:tc>
          <w:tcPr>
            <w:tcW w:w="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2003B" w14:textId="77777777" w:rsidR="00AE5B4F" w:rsidRPr="00976073" w:rsidRDefault="00B76209" w:rsidP="00F5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>Neomycin Sulfate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FA73B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Antibiotic ointment eye drop</w:t>
            </w:r>
          </w:p>
          <w:p w14:paraId="29BF6D6F" w14:textId="77777777" w:rsidR="00AE5B4F" w:rsidRPr="00976073" w:rsidRDefault="00AE5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</w:p>
          <w:p w14:paraId="2FD5FD7D" w14:textId="77777777" w:rsidR="00AE5B4F" w:rsidRPr="00976073" w:rsidRDefault="00B76209">
            <w:pPr>
              <w:widowControl w:val="0"/>
              <w:pBdr>
                <w:bottom w:val="none" w:sz="0" w:space="6" w:color="auto"/>
              </w:pBdr>
              <w:shd w:val="clear" w:color="auto" w:fill="FFFFFF"/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Use for treatment or adjunctive therapy to certain eye, ear, and skin conditions. Also, use as a superficial wound dressing for minor cuts, wounds, lacerations, and abrasions.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A66CC" w14:textId="77777777" w:rsidR="00AE5B4F" w:rsidRPr="00976073" w:rsidRDefault="00B76209">
            <w:pPr>
              <w:widowControl w:val="0"/>
              <w:pBdr>
                <w:bottom w:val="none" w:sz="0" w:space="6" w:color="auto"/>
              </w:pBdr>
              <w:shd w:val="clear" w:color="auto" w:fill="FFFFFF"/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Prolonged administration of the drug may permit overgrowth of organisms that are</w:t>
            </w:r>
            <w:r w:rsidRPr="00976073">
              <w:rPr>
                <w:rFonts w:asciiTheme="majorHAnsi" w:eastAsia="Times New Roman" w:hAnsiTheme="majorHAnsi" w:cstheme="majorHAnsi"/>
              </w:rPr>
              <w:t xml:space="preserve"> not susceptible to neomycin. If new infections due to bacteria or fungi appear during therapy, appropriate measures should be taken.</w:t>
            </w:r>
          </w:p>
          <w:p w14:paraId="6FF67766" w14:textId="77777777" w:rsidR="00AE5B4F" w:rsidRPr="00976073" w:rsidRDefault="00B76209">
            <w:pPr>
              <w:widowControl w:val="0"/>
              <w:pBdr>
                <w:bottom w:val="none" w:sz="0" w:space="6" w:color="auto"/>
              </w:pBdr>
              <w:shd w:val="clear" w:color="auto" w:fill="FFFFFF"/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Concurrently with other ototoxic and nephrotoxic drugs.</w:t>
            </w:r>
          </w:p>
          <w:p w14:paraId="5D4F7558" w14:textId="77777777" w:rsidR="00AE5B4F" w:rsidRPr="00976073" w:rsidRDefault="00B76209">
            <w:pPr>
              <w:widowControl w:val="0"/>
              <w:pBdr>
                <w:bottom w:val="none" w:sz="0" w:space="6" w:color="auto"/>
              </w:pBdr>
              <w:shd w:val="clear" w:color="auto" w:fill="FFFFFF"/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In animals with hepatic failure.</w:t>
            </w:r>
          </w:p>
          <w:p w14:paraId="4C55A362" w14:textId="77777777" w:rsidR="00AE5B4F" w:rsidRPr="00976073" w:rsidRDefault="00B76209">
            <w:pPr>
              <w:widowControl w:val="0"/>
              <w:pBdr>
                <w:bottom w:val="none" w:sz="0" w:space="6" w:color="auto"/>
              </w:pBdr>
              <w:shd w:val="clear" w:color="auto" w:fill="FFFFFF"/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>Epithelial herpes simplex keratit</w:t>
            </w: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>is, vaccinia, varicella and many other viral diseases of the cornea and conjunctiva. Mycobacterial infection of the eye. Fungal diseases of ocular structures. Hypersensitivity to a component of the medication.</w:t>
            </w:r>
          </w:p>
          <w:p w14:paraId="0C69CE75" w14:textId="77777777" w:rsidR="00AE5B4F" w:rsidRPr="00976073" w:rsidRDefault="00AE5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088A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  <w:highlight w:val="white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>Elevation of intraocular pressure with possib</w:t>
            </w: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>le development of glaucoma</w:t>
            </w:r>
          </w:p>
          <w:p w14:paraId="7EAE6C26" w14:textId="77777777" w:rsidR="00AE5B4F" w:rsidRPr="00976073" w:rsidRDefault="00AE5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  <w:highlight w:val="white"/>
              </w:rPr>
            </w:pPr>
          </w:p>
          <w:p w14:paraId="0477DBBA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  <w:highlight w:val="white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>Infrequent optic nerve damage</w:t>
            </w:r>
          </w:p>
          <w:p w14:paraId="05353408" w14:textId="77777777" w:rsidR="00AE5B4F" w:rsidRPr="00976073" w:rsidRDefault="00AE5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  <w:highlight w:val="white"/>
              </w:rPr>
            </w:pPr>
          </w:p>
          <w:p w14:paraId="6519D8FE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  <w:highlight w:val="white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>Posterior sub capsular cataract formation</w:t>
            </w:r>
          </w:p>
          <w:p w14:paraId="2BA66A0E" w14:textId="77777777" w:rsidR="00AE5B4F" w:rsidRPr="00976073" w:rsidRDefault="00AE5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  <w:highlight w:val="white"/>
              </w:rPr>
            </w:pPr>
          </w:p>
          <w:p w14:paraId="2A3F7680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>Delayed wound healing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D70D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None</w:t>
            </w:r>
          </w:p>
        </w:tc>
        <w:tc>
          <w:tcPr>
            <w:tcW w:w="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403A9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Ophthalmic:  Administer 3 times to 4 times/day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D407C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Not indicated</w:t>
            </w:r>
          </w:p>
        </w:tc>
      </w:tr>
      <w:tr w:rsidR="00AE5B4F" w:rsidRPr="00976073" w14:paraId="745C4096" w14:textId="77777777" w:rsidTr="00F55116"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BD74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976073">
              <w:rPr>
                <w:rFonts w:asciiTheme="majorHAnsi" w:eastAsia="Times New Roman" w:hAnsiTheme="majorHAnsi" w:cstheme="majorHAnsi"/>
                <w:b/>
              </w:rPr>
              <w:t>Atropine</w:t>
            </w:r>
          </w:p>
        </w:tc>
        <w:tc>
          <w:tcPr>
            <w:tcW w:w="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AC6B6" w14:textId="77777777" w:rsidR="00AE5B4F" w:rsidRPr="00976073" w:rsidRDefault="00B76209" w:rsidP="00F5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  <w:highlight w:val="white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>Atropine Sulfate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5F71A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Preanesthetic to prevent or reduce secretions of the respiratory tract.</w:t>
            </w:r>
          </w:p>
          <w:p w14:paraId="51E5891F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Treat sinus bradycardia, </w:t>
            </w:r>
            <w:r w:rsidRPr="00976073">
              <w:rPr>
                <w:rFonts w:asciiTheme="majorHAnsi" w:eastAsia="Times New Roman" w:hAnsiTheme="majorHAnsi" w:cstheme="majorHAnsi"/>
              </w:rPr>
              <w:lastRenderedPageBreak/>
              <w:t>sinoatrial arrest, and incomplete AV block.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A3AA8" w14:textId="77777777" w:rsidR="00AE5B4F" w:rsidRPr="00976073" w:rsidRDefault="00B76209">
            <w:pPr>
              <w:widowControl w:val="0"/>
              <w:pBdr>
                <w:bottom w:val="none" w:sz="0" w:space="6" w:color="auto"/>
              </w:pBdr>
              <w:shd w:val="clear" w:color="auto" w:fill="FFFFFF"/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lastRenderedPageBreak/>
              <w:t>Atropine is contraindicated in patients with narrow-angle glaucoma, synechiae (adhesions) between the iris and lens</w:t>
            </w:r>
            <w:r w:rsidRPr="00976073">
              <w:rPr>
                <w:rFonts w:asciiTheme="majorHAnsi" w:eastAsia="Times New Roman" w:hAnsiTheme="majorHAnsi" w:cstheme="majorHAnsi"/>
              </w:rPr>
              <w:t xml:space="preserve">, hypersensitivity to anticholinergic drugs, tachycardias secondary to </w:t>
            </w:r>
            <w:r w:rsidRPr="00976073">
              <w:rPr>
                <w:rFonts w:asciiTheme="majorHAnsi" w:eastAsia="Times New Roman" w:hAnsiTheme="majorHAnsi" w:cstheme="majorHAnsi"/>
              </w:rPr>
              <w:lastRenderedPageBreak/>
              <w:t>thyrotoxicosis or cardiac insufficiency, myocardial ischemia, unstable cardiac status during acute hemorrhage, GI obstructive disease, paralytic ileus, severe ulcerative colitis, obstru</w:t>
            </w:r>
            <w:r w:rsidRPr="00976073">
              <w:rPr>
                <w:rFonts w:asciiTheme="majorHAnsi" w:eastAsia="Times New Roman" w:hAnsiTheme="majorHAnsi" w:cstheme="majorHAnsi"/>
              </w:rPr>
              <w:t>ctive uropathy, and myasthenia gravis</w:t>
            </w:r>
          </w:p>
          <w:p w14:paraId="02393B6B" w14:textId="77777777" w:rsidR="00AE5B4F" w:rsidRPr="00976073" w:rsidRDefault="00AE5B4F">
            <w:pPr>
              <w:widowControl w:val="0"/>
              <w:pBdr>
                <w:bottom w:val="none" w:sz="0" w:space="6" w:color="auto"/>
              </w:pBdr>
              <w:shd w:val="clear" w:color="auto" w:fill="FFFFFF"/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91910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  <w:highlight w:val="white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lastRenderedPageBreak/>
              <w:t xml:space="preserve">Adverse effects are usually due to overdose. </w:t>
            </w:r>
          </w:p>
          <w:p w14:paraId="3A336690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  <w:highlight w:val="white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 xml:space="preserve">GI: dry mouth, dysphagia, constipation, </w:t>
            </w: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lastRenderedPageBreak/>
              <w:t xml:space="preserve">vomiting, and thirst. </w:t>
            </w:r>
          </w:p>
          <w:p w14:paraId="60F2746F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  <w:highlight w:val="white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 xml:space="preserve">GU: urinary retention or hesitancy. </w:t>
            </w:r>
          </w:p>
          <w:p w14:paraId="5069A329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  <w:highlight w:val="white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 xml:space="preserve">CNS: drowsiness, ataxia, seizures, respiratory depression, etc. </w:t>
            </w:r>
          </w:p>
          <w:p w14:paraId="7FA537C1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  <w:highlight w:val="white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>Ophthalmic: blurred vision, pupil dilation, cycloplegia, and photophobia.</w:t>
            </w:r>
          </w:p>
          <w:p w14:paraId="0058DB7B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  <w:highlight w:val="white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>Cardiovascular: sinus tachycardia (at higher doses), bradycardia (initially or at very low doses), hypertension, hypotension, arrhythmias (ectopic complexes), and circulatory failure</w:t>
            </w: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>.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B49B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lastRenderedPageBreak/>
              <w:t xml:space="preserve">Meat: 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14 days</w:t>
            </w:r>
          </w:p>
        </w:tc>
        <w:tc>
          <w:tcPr>
            <w:tcW w:w="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57D9E" w14:textId="77777777" w:rsidR="00AE5B4F" w:rsidRPr="00976073" w:rsidRDefault="00B76209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Concentration: 0.54mg/ml</w:t>
            </w:r>
          </w:p>
          <w:p w14:paraId="2591006D" w14:textId="77777777" w:rsidR="00AE5B4F" w:rsidRPr="00976073" w:rsidRDefault="00AE5B4F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  <w:p w14:paraId="46CA09E6" w14:textId="77777777" w:rsidR="00AE5B4F" w:rsidRPr="00976073" w:rsidRDefault="00B76209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Dose: 0.04mg/kg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A8E27" w14:textId="77777777" w:rsidR="00AE5B4F" w:rsidRPr="00976073" w:rsidRDefault="00B76209">
            <w:pPr>
              <w:widowControl w:val="0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V= (D x W)/C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V= (0.04 x 400)/0.54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 xml:space="preserve">   = 29.6 ml</w:t>
            </w:r>
          </w:p>
        </w:tc>
      </w:tr>
      <w:tr w:rsidR="00AE5B4F" w:rsidRPr="00976073" w14:paraId="63B49627" w14:textId="77777777" w:rsidTr="00F55116"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6B334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976073">
              <w:rPr>
                <w:rFonts w:asciiTheme="majorHAnsi" w:eastAsia="Times New Roman" w:hAnsiTheme="majorHAnsi" w:cstheme="majorHAnsi"/>
                <w:b/>
              </w:rPr>
              <w:t xml:space="preserve">Epinephrine </w:t>
            </w:r>
          </w:p>
        </w:tc>
        <w:tc>
          <w:tcPr>
            <w:tcW w:w="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59D57" w14:textId="77777777" w:rsidR="00AE5B4F" w:rsidRPr="00976073" w:rsidRDefault="00AE5B4F" w:rsidP="00F5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Theme="majorHAnsi" w:eastAsia="Times New Roman" w:hAnsiTheme="majorHAnsi" w:cstheme="majorHAnsi"/>
                <w:highlight w:val="white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20F6F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Treatment for anaphylactic reactions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706D7" w14:textId="77777777" w:rsidR="00AE5B4F" w:rsidRPr="00976073" w:rsidRDefault="00B76209">
            <w:pPr>
              <w:widowControl w:val="0"/>
              <w:pBdr>
                <w:bottom w:val="none" w:sz="0" w:space="6" w:color="auto"/>
              </w:pBdr>
              <w:shd w:val="clear" w:color="auto" w:fill="FFFFFF"/>
              <w:spacing w:before="200" w:after="24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 xml:space="preserve">Narrow-angle glaucoma, hypersensitivity to epinephrine, shock due to non-anaphylactoid causes, during general anesthesia with halogenated </w:t>
            </w:r>
            <w:r w:rsidRPr="00976073">
              <w:rPr>
                <w:rFonts w:asciiTheme="majorHAnsi" w:eastAsia="Times New Roman" w:hAnsiTheme="majorHAnsi" w:cstheme="majorHAnsi"/>
              </w:rPr>
              <w:lastRenderedPageBreak/>
              <w:t>hydrocarbons, during labor (may delay the second stage), cardiac dilatation or coronary insufficiency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E4710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  <w:highlight w:val="white"/>
              </w:rPr>
            </w:pP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lastRenderedPageBreak/>
              <w:t>Anxiety, tremor,</w:t>
            </w: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t xml:space="preserve"> excitability, vomiting, hypertension (overdosage), </w:t>
            </w:r>
            <w:r w:rsidRPr="00976073">
              <w:rPr>
                <w:rFonts w:asciiTheme="majorHAnsi" w:eastAsia="Times New Roman" w:hAnsiTheme="majorHAnsi" w:cstheme="majorHAnsi"/>
                <w:highlight w:val="white"/>
              </w:rPr>
              <w:lastRenderedPageBreak/>
              <w:t>arrhythmias, hyperuricemia, &amp; lactic acidosis (prolonged use or overdosage)</w:t>
            </w:r>
          </w:p>
          <w:p w14:paraId="4E890C4D" w14:textId="77777777" w:rsidR="00AE5B4F" w:rsidRPr="00976073" w:rsidRDefault="00AE5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  <w:highlight w:val="white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9B77E" w14:textId="77777777" w:rsidR="00AE5B4F" w:rsidRPr="00976073" w:rsidRDefault="00B7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lastRenderedPageBreak/>
              <w:t>None</w:t>
            </w:r>
          </w:p>
        </w:tc>
        <w:tc>
          <w:tcPr>
            <w:tcW w:w="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14E97" w14:textId="77777777" w:rsidR="00AE5B4F" w:rsidRPr="00976073" w:rsidRDefault="00B76209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Concentration: 1mg/ml</w:t>
            </w:r>
          </w:p>
          <w:p w14:paraId="5360CD66" w14:textId="77777777" w:rsidR="00AE5B4F" w:rsidRPr="00976073" w:rsidRDefault="00AE5B4F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  <w:p w14:paraId="43B49407" w14:textId="77777777" w:rsidR="00AE5B4F" w:rsidRPr="00976073" w:rsidRDefault="00B76209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Dose: 0.02mg/kg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F9F72" w14:textId="77777777" w:rsidR="00AE5B4F" w:rsidRPr="00976073" w:rsidRDefault="00B76209">
            <w:pPr>
              <w:widowControl w:val="0"/>
              <w:spacing w:before="200" w:line="240" w:lineRule="auto"/>
              <w:rPr>
                <w:rFonts w:asciiTheme="majorHAnsi" w:eastAsia="Times New Roman" w:hAnsiTheme="majorHAnsi" w:cstheme="majorHAnsi"/>
              </w:rPr>
            </w:pPr>
            <w:r w:rsidRPr="00976073">
              <w:rPr>
                <w:rFonts w:asciiTheme="majorHAnsi" w:eastAsia="Times New Roman" w:hAnsiTheme="majorHAnsi" w:cstheme="majorHAnsi"/>
              </w:rPr>
              <w:t>V= (D x W)/C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>V= (0.02 x 400)/1</w:t>
            </w:r>
            <w:r w:rsidRPr="00976073">
              <w:rPr>
                <w:rFonts w:asciiTheme="majorHAnsi" w:eastAsia="Times New Roman" w:hAnsiTheme="majorHAnsi" w:cstheme="majorHAnsi"/>
              </w:rPr>
              <w:br/>
              <w:t xml:space="preserve">   = 8 ml</w:t>
            </w:r>
          </w:p>
        </w:tc>
      </w:tr>
    </w:tbl>
    <w:p w14:paraId="21F149C9" w14:textId="77777777" w:rsidR="00AE5B4F" w:rsidRDefault="00AE5B4F">
      <w:pPr>
        <w:rPr>
          <w:rFonts w:ascii="Times New Roman" w:eastAsia="Times New Roman" w:hAnsi="Times New Roman" w:cs="Times New Roman"/>
        </w:rPr>
      </w:pPr>
    </w:p>
    <w:sectPr w:rsidR="00AE5B4F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B4F"/>
    <w:rsid w:val="00976073"/>
    <w:rsid w:val="00AE5B4F"/>
    <w:rsid w:val="00B76209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CF0C"/>
  <w15:docId w15:val="{E7E5FCA8-A115-415C-9454-C593C98C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Rhoden</dc:creator>
  <cp:lastModifiedBy>alexandra.thomasrhoden</cp:lastModifiedBy>
  <cp:revision>3</cp:revision>
  <dcterms:created xsi:type="dcterms:W3CDTF">2021-10-23T20:42:00Z</dcterms:created>
  <dcterms:modified xsi:type="dcterms:W3CDTF">2021-10-23T21:47:00Z</dcterms:modified>
</cp:coreProperties>
</file>