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CB86" w14:textId="1DE3D1F6" w:rsidR="00CA2CFB" w:rsidRPr="00EE294A" w:rsidRDefault="007D1931" w:rsidP="007D1931">
      <w:pPr>
        <w:jc w:val="center"/>
        <w:rPr>
          <w:rFonts w:ascii="Times New Roman" w:hAnsi="Times New Roman" w:cs="Times New Roman"/>
          <w:i/>
          <w:iCs/>
          <w:sz w:val="36"/>
          <w:szCs w:val="36"/>
          <w:u w:val="single"/>
        </w:rPr>
      </w:pPr>
      <w:r w:rsidRPr="00EE294A">
        <w:rPr>
          <w:rFonts w:ascii="Times New Roman" w:hAnsi="Times New Roman" w:cs="Times New Roman"/>
          <w:i/>
          <w:iCs/>
          <w:sz w:val="36"/>
          <w:szCs w:val="36"/>
          <w:u w:val="single"/>
        </w:rPr>
        <w:t>POST OPERATIVE CARE- CASE 1</w:t>
      </w:r>
    </w:p>
    <w:p w14:paraId="05D36DD9" w14:textId="77777777" w:rsidR="00644BF2" w:rsidRDefault="00644BF2" w:rsidP="00644BF2">
      <w:pPr>
        <w:jc w:val="center"/>
        <w:rPr>
          <w:rFonts w:ascii="Times New Roman" w:hAnsi="Times New Roman" w:cs="Times New Roman"/>
          <w:sz w:val="28"/>
          <w:szCs w:val="28"/>
        </w:rPr>
      </w:pPr>
    </w:p>
    <w:p w14:paraId="1336DF4F" w14:textId="0FAA38B2" w:rsidR="00644BF2" w:rsidRDefault="00EE294A">
      <w:pPr>
        <w:rPr>
          <w:rFonts w:ascii="Times New Roman" w:hAnsi="Times New Roman" w:cs="Times New Roman"/>
          <w:sz w:val="28"/>
          <w:szCs w:val="28"/>
        </w:rPr>
      </w:pPr>
      <w:r>
        <w:rPr>
          <w:rFonts w:ascii="Times New Roman" w:hAnsi="Times New Roman" w:cs="Times New Roman"/>
          <w:sz w:val="28"/>
          <w:szCs w:val="28"/>
        </w:rPr>
        <w:t xml:space="preserve">Management protocols: </w:t>
      </w:r>
    </w:p>
    <w:p w14:paraId="104DB958" w14:textId="58F6E94E" w:rsidR="00EE294A" w:rsidRPr="00EE294A" w:rsidRDefault="00EE294A">
      <w:pPr>
        <w:rPr>
          <w:rFonts w:ascii="Times New Roman" w:hAnsi="Times New Roman" w:cs="Times New Roman"/>
          <w:color w:val="FF0000"/>
          <w:sz w:val="28"/>
          <w:szCs w:val="28"/>
        </w:rPr>
      </w:pPr>
      <w:r w:rsidRPr="00EE294A">
        <w:rPr>
          <w:rFonts w:ascii="Times New Roman" w:hAnsi="Times New Roman" w:cs="Times New Roman"/>
          <w:color w:val="FF0000"/>
          <w:sz w:val="28"/>
          <w:szCs w:val="28"/>
        </w:rPr>
        <w:t xml:space="preserve">The affected teat/s should be checked daily to determine if there is proper let down of milk over a 2-week period. </w:t>
      </w:r>
    </w:p>
    <w:p w14:paraId="748B7F55" w14:textId="148277D7" w:rsidR="00EE294A" w:rsidRDefault="00EE294A">
      <w:pPr>
        <w:rPr>
          <w:rFonts w:ascii="Times New Roman" w:hAnsi="Times New Roman" w:cs="Times New Roman"/>
          <w:color w:val="FF0000"/>
          <w:sz w:val="28"/>
          <w:szCs w:val="28"/>
        </w:rPr>
      </w:pPr>
      <w:r w:rsidRPr="00EE294A">
        <w:rPr>
          <w:rFonts w:ascii="Times New Roman" w:hAnsi="Times New Roman" w:cs="Times New Roman"/>
          <w:color w:val="FF0000"/>
          <w:sz w:val="28"/>
          <w:szCs w:val="28"/>
        </w:rPr>
        <w:t xml:space="preserve">A Larson’s teat tube can be used to allow drainage of a specific quarter, allowing the other quarters to be milked, this would allow for at least some milk collection. </w:t>
      </w:r>
    </w:p>
    <w:p w14:paraId="6C3C39E9" w14:textId="1DA88926" w:rsidR="00EE294A" w:rsidRDefault="00EE294A">
      <w:pPr>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should be proper use of antibiotics as well as a dry off period to allow excretion of the drug. (drug withdrawal period) </w:t>
      </w:r>
    </w:p>
    <w:p w14:paraId="1081AA49" w14:textId="4F982D1A" w:rsidR="00EE294A" w:rsidRPr="00EE294A" w:rsidRDefault="00EE294A">
      <w:pPr>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14:anchorId="78A5FDDA" wp14:editId="3A34BEA4">
            <wp:extent cx="48196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3429000"/>
                    </a:xfrm>
                    <a:prstGeom prst="rect">
                      <a:avLst/>
                    </a:prstGeom>
                    <a:noFill/>
                    <a:ln>
                      <a:noFill/>
                    </a:ln>
                  </pic:spPr>
                </pic:pic>
              </a:graphicData>
            </a:graphic>
          </wp:inline>
        </w:drawing>
      </w:r>
    </w:p>
    <w:p w14:paraId="30A84964" w14:textId="43145360" w:rsidR="00EE294A" w:rsidRDefault="00EE294A">
      <w:pPr>
        <w:rPr>
          <w:rFonts w:ascii="Times New Roman" w:hAnsi="Times New Roman" w:cs="Times New Roman"/>
          <w:sz w:val="28"/>
          <w:szCs w:val="28"/>
        </w:rPr>
      </w:pPr>
    </w:p>
    <w:p w14:paraId="7DCF5FBD" w14:textId="1798DC02" w:rsidR="00EE294A" w:rsidRDefault="00EE294A">
      <w:pPr>
        <w:rPr>
          <w:rFonts w:ascii="Times New Roman" w:hAnsi="Times New Roman" w:cs="Times New Roman"/>
          <w:sz w:val="28"/>
          <w:szCs w:val="28"/>
        </w:rPr>
      </w:pPr>
    </w:p>
    <w:p w14:paraId="5E3D066D" w14:textId="0D848389" w:rsidR="00EE294A" w:rsidRDefault="00EE294A">
      <w:pPr>
        <w:rPr>
          <w:rFonts w:ascii="Times New Roman" w:hAnsi="Times New Roman" w:cs="Times New Roman"/>
          <w:sz w:val="28"/>
          <w:szCs w:val="28"/>
        </w:rPr>
      </w:pPr>
      <w:r>
        <w:rPr>
          <w:rFonts w:ascii="Times New Roman" w:hAnsi="Times New Roman" w:cs="Times New Roman"/>
          <w:sz w:val="28"/>
          <w:szCs w:val="28"/>
        </w:rPr>
        <w:t xml:space="preserve">Farmer/Client Communications: </w:t>
      </w:r>
    </w:p>
    <w:p w14:paraId="2FB6DDEF" w14:textId="1143EDD2" w:rsidR="00EE294A" w:rsidRDefault="00C8181A">
      <w:pPr>
        <w:rPr>
          <w:rFonts w:ascii="Times New Roman" w:hAnsi="Times New Roman" w:cs="Times New Roman"/>
          <w:color w:val="1F3864" w:themeColor="accent1" w:themeShade="80"/>
          <w:sz w:val="28"/>
          <w:szCs w:val="28"/>
        </w:rPr>
      </w:pPr>
      <w:r w:rsidRPr="00C8181A">
        <w:rPr>
          <w:rFonts w:ascii="Times New Roman" w:hAnsi="Times New Roman" w:cs="Times New Roman"/>
          <w:color w:val="1F3864" w:themeColor="accent1" w:themeShade="80"/>
          <w:sz w:val="28"/>
          <w:szCs w:val="28"/>
        </w:rPr>
        <w:t xml:space="preserve">The vet should inform the farmer to regularly check up on the cow for any signs of mastitis/infection. The sutures should be removed in a timely manner to prevent infection. The teat/s which is/are infected should be drained to remove any excessive pressure on the suture line. If milk is collected from the teat it should not be sold or used for calves as there may still be pathogenic bacteria. </w:t>
      </w:r>
      <w:r w:rsidRPr="00C8181A">
        <w:rPr>
          <w:rFonts w:ascii="Times New Roman" w:hAnsi="Times New Roman" w:cs="Times New Roman"/>
          <w:color w:val="1F3864" w:themeColor="accent1" w:themeShade="80"/>
          <w:sz w:val="28"/>
          <w:szCs w:val="28"/>
        </w:rPr>
        <w:lastRenderedPageBreak/>
        <w:t xml:space="preserve">Sutures would be removed in 2-weeks’ time, after aseptic preparation of the surgical site. </w:t>
      </w:r>
    </w:p>
    <w:p w14:paraId="76075AA4" w14:textId="132D3F1D" w:rsidR="00C8181A" w:rsidRDefault="00C8181A">
      <w:pPr>
        <w:rPr>
          <w:rFonts w:ascii="Times New Roman" w:hAnsi="Times New Roman" w:cs="Times New Roman"/>
          <w:color w:val="1F3864" w:themeColor="accent1" w:themeShade="80"/>
          <w:sz w:val="28"/>
          <w:szCs w:val="28"/>
        </w:rPr>
      </w:pPr>
    </w:p>
    <w:p w14:paraId="49DB06FD" w14:textId="72A7EE60" w:rsidR="00C8181A" w:rsidRDefault="00C8181A">
      <w:pPr>
        <w:rPr>
          <w:rFonts w:ascii="Times New Roman" w:hAnsi="Times New Roman" w:cs="Times New Roman"/>
          <w:color w:val="1F3864" w:themeColor="accent1" w:themeShade="80"/>
          <w:sz w:val="28"/>
          <w:szCs w:val="28"/>
        </w:rPr>
      </w:pPr>
    </w:p>
    <w:p w14:paraId="2F70CA3E" w14:textId="6365E92A" w:rsidR="00C8181A" w:rsidRDefault="00C8181A">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 Operative drugs: </w:t>
      </w:r>
    </w:p>
    <w:p w14:paraId="57AEEA9D" w14:textId="7D083E5E" w:rsidR="00C8181A" w:rsidRDefault="00C8181A">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Antibiotics- Pen-strep – its withdrawal period (3 days for milk) </w:t>
      </w:r>
    </w:p>
    <w:p w14:paraId="404D9D1A" w14:textId="1D6BCBEF" w:rsidR="00C8181A" w:rsidRDefault="00C8181A">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Dosage- 4ml/100kg – IM </w:t>
      </w:r>
    </w:p>
    <w:p w14:paraId="4B7B4E04" w14:textId="0BE82076" w:rsidR="00C8181A" w:rsidRDefault="00C8181A">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be given once daily for</w:t>
      </w:r>
      <w:r w:rsidR="004A0E6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 consecutive days</w:t>
      </w:r>
    </w:p>
    <w:p w14:paraId="6332008B" w14:textId="104BBEBF"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16E97" w14:textId="4BD71111"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Intramammary treatment- Gentamicin 150mg, once a day for 3 days</w:t>
      </w:r>
    </w:p>
    <w:p w14:paraId="14B68EAC" w14:textId="20567EED"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Withdrawal period of 4 days </w:t>
      </w:r>
    </w:p>
    <w:p w14:paraId="3150157A" w14:textId="6854B8D1"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31F6B" w14:textId="46CEB5DD"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Flunixin Meglumine- 2.2mg/kg- IV, once a day- for 3 days </w:t>
      </w:r>
    </w:p>
    <w:p w14:paraId="322AD381" w14:textId="0323AC9D" w:rsidR="004A0E6F"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days in milk – withdrawal period </w:t>
      </w:r>
    </w:p>
    <w:p w14:paraId="0AA1C7E6" w14:textId="40D462D3" w:rsidR="004A0E6F" w:rsidRPr="00C8181A" w:rsidRDefault="004A0E6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not be used in dry dairy cows </w:t>
      </w:r>
    </w:p>
    <w:p w14:paraId="36A8A871" w14:textId="77777777" w:rsidR="00EE294A" w:rsidRDefault="00EE294A">
      <w:pPr>
        <w:rPr>
          <w:rFonts w:ascii="Times New Roman" w:hAnsi="Times New Roman" w:cs="Times New Roman"/>
          <w:sz w:val="28"/>
          <w:szCs w:val="28"/>
        </w:rPr>
      </w:pPr>
    </w:p>
    <w:p w14:paraId="4219A2C4" w14:textId="77777777" w:rsidR="00EE294A" w:rsidRPr="007D1931" w:rsidRDefault="00EE294A">
      <w:pPr>
        <w:rPr>
          <w:rFonts w:ascii="Times New Roman" w:hAnsi="Times New Roman" w:cs="Times New Roman"/>
          <w:sz w:val="28"/>
          <w:szCs w:val="28"/>
        </w:rPr>
      </w:pPr>
    </w:p>
    <w:sectPr w:rsidR="00EE294A" w:rsidRPr="007D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31"/>
    <w:rsid w:val="004A0E6F"/>
    <w:rsid w:val="00644BF2"/>
    <w:rsid w:val="007D1931"/>
    <w:rsid w:val="00C8181A"/>
    <w:rsid w:val="00CA2CFB"/>
    <w:rsid w:val="00EE294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CDDF"/>
  <w15:chartTrackingRefBased/>
  <w15:docId w15:val="{3BF2CC64-BD76-4BFA-8F40-877518D6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1</cp:revision>
  <dcterms:created xsi:type="dcterms:W3CDTF">2020-11-15T23:00:00Z</dcterms:created>
  <dcterms:modified xsi:type="dcterms:W3CDTF">2020-11-16T00:31:00Z</dcterms:modified>
</cp:coreProperties>
</file>