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96" w:rsidRPr="003455C1" w:rsidRDefault="00124029" w:rsidP="003455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455C1">
        <w:rPr>
          <w:rFonts w:ascii="Times New Roman" w:hAnsi="Times New Roman" w:cs="Times New Roman"/>
          <w:b/>
          <w:sz w:val="28"/>
          <w:szCs w:val="28"/>
          <w:u w:val="single"/>
        </w:rPr>
        <w:t>Contraindications</w:t>
      </w:r>
    </w:p>
    <w:p w:rsidR="00124029" w:rsidRPr="00000C1D" w:rsidRDefault="00124029" w:rsidP="00124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Nerve blocks should not be used in horses that show signs of severe lameness</w:t>
      </w:r>
      <w:r w:rsidR="009E00E1">
        <w:rPr>
          <w:rFonts w:ascii="Times New Roman" w:hAnsi="Times New Roman" w:cs="Times New Roman"/>
          <w:sz w:val="24"/>
          <w:szCs w:val="24"/>
        </w:rPr>
        <w:t xml:space="preserve"> since there is a possibility of bone fracture. If a nerve block i</w:t>
      </w:r>
      <w:r w:rsidR="00A65065">
        <w:rPr>
          <w:rFonts w:ascii="Times New Roman" w:hAnsi="Times New Roman" w:cs="Times New Roman"/>
          <w:sz w:val="24"/>
          <w:szCs w:val="24"/>
        </w:rPr>
        <w:t xml:space="preserve">s then performed the horse can bear weight excessively on the limb causing a non-displaced fracture to worsen. </w:t>
      </w:r>
    </w:p>
    <w:p w:rsidR="00000C1D" w:rsidRPr="006C3CA7" w:rsidRDefault="00000C1D" w:rsidP="00124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anesthetic solution may diffuse from the deposition sit and </w:t>
      </w:r>
      <w:r w:rsidR="006C3CA7">
        <w:rPr>
          <w:rFonts w:ascii="Times New Roman" w:hAnsi="Times New Roman" w:cs="Times New Roman"/>
          <w:sz w:val="24"/>
          <w:szCs w:val="24"/>
        </w:rPr>
        <w:t>desensitize adjacent structures.</w:t>
      </w:r>
    </w:p>
    <w:p w:rsidR="006C3CA7" w:rsidRPr="00CF53BE" w:rsidRDefault="006C3CA7" w:rsidP="00124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Anesthetic solution can irritate tissue (especially Lidocaine) and can cause low grade inflammation</w:t>
      </w:r>
      <w:r w:rsidR="00CF53BE">
        <w:rPr>
          <w:rFonts w:ascii="Times New Roman" w:hAnsi="Times New Roman" w:cs="Times New Roman"/>
          <w:sz w:val="24"/>
          <w:szCs w:val="24"/>
        </w:rPr>
        <w:t>.</w:t>
      </w:r>
    </w:p>
    <w:p w:rsidR="00CF53BE" w:rsidRPr="00CF53BE" w:rsidRDefault="00CF53BE" w:rsidP="00124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always a risk of introducing bacteria and then infection. </w:t>
      </w:r>
    </w:p>
    <w:p w:rsidR="00CF53BE" w:rsidRPr="00CF53BE" w:rsidRDefault="00CF53BE" w:rsidP="00124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Responses may be inconsistent.</w:t>
      </w:r>
    </w:p>
    <w:p w:rsidR="00CF53BE" w:rsidRPr="00977E0A" w:rsidRDefault="00977E0A" w:rsidP="00124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anesthetics will cause systemic toxicity if excessive amounts are used or if absorption is too rapid. </w:t>
      </w:r>
    </w:p>
    <w:p w:rsidR="00977E0A" w:rsidRPr="0032332E" w:rsidRDefault="0032332E" w:rsidP="00124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using Lidocaine caution should be taken with pregnant animals or animals with cardiac or hepatic impairment. </w:t>
      </w:r>
    </w:p>
    <w:p w:rsidR="0032332E" w:rsidRPr="00124029" w:rsidRDefault="00DD48A9" w:rsidP="00124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Mepivacaine should not be used in horses intended for human consumption. </w:t>
      </w:r>
    </w:p>
    <w:sectPr w:rsidR="0032332E" w:rsidRPr="00124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B381E"/>
    <w:multiLevelType w:val="hybridMultilevel"/>
    <w:tmpl w:val="425C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50"/>
    <w:rsid w:val="00000C1D"/>
    <w:rsid w:val="00124029"/>
    <w:rsid w:val="0032332E"/>
    <w:rsid w:val="003455C1"/>
    <w:rsid w:val="00366796"/>
    <w:rsid w:val="006C3CA7"/>
    <w:rsid w:val="007B1050"/>
    <w:rsid w:val="00977E0A"/>
    <w:rsid w:val="009E00E1"/>
    <w:rsid w:val="00A65065"/>
    <w:rsid w:val="00CF53BE"/>
    <w:rsid w:val="00D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kali</cp:lastModifiedBy>
  <cp:revision>3</cp:revision>
  <dcterms:created xsi:type="dcterms:W3CDTF">2020-10-03T21:45:00Z</dcterms:created>
  <dcterms:modified xsi:type="dcterms:W3CDTF">2020-10-03T21:58:00Z</dcterms:modified>
</cp:coreProperties>
</file>