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A943D" w14:textId="77777777" w:rsidR="00000000" w:rsidRDefault="000D6C8A">
      <w:pPr>
        <w:shd w:val="clear" w:color="auto" w:fill="FFFFFF"/>
        <w:spacing w:after="45" w:line="600" w:lineRule="auto"/>
        <w:jc w:val="center"/>
        <w:outlineLvl w:val="1"/>
        <w:rPr>
          <w:rFonts w:ascii="Times New Roman" w:eastAsia="Times New Roman" w:hAnsi="Times New Roman" w:cs="Times New Roman"/>
          <w:b/>
          <w:bCs/>
          <w:color w:val="2E74B5" w:themeColor="accent5" w:themeShade="BF"/>
          <w:sz w:val="72"/>
          <w:szCs w:val="72"/>
        </w:rPr>
      </w:pPr>
      <w:bookmarkStart w:id="0" w:name="_GoBack"/>
      <w:bookmarkEnd w:id="0"/>
      <w:r>
        <w:rPr>
          <w:rFonts w:ascii="Times New Roman" w:eastAsia="Times New Roman" w:hAnsi="Times New Roman" w:cs="Times New Roman"/>
          <w:b/>
          <w:bCs/>
          <w:color w:val="2E74B5" w:themeColor="accent5" w:themeShade="BF"/>
          <w:sz w:val="72"/>
          <w:szCs w:val="72"/>
        </w:rPr>
        <w:t>Anatomy of the bovine large intestine</w:t>
      </w:r>
    </w:p>
    <w:p w14:paraId="5A05E451" w14:textId="77777777" w:rsidR="00000000" w:rsidRDefault="000D6C8A">
      <w:pPr>
        <w:shd w:val="clear" w:color="auto" w:fill="FFFFFF"/>
        <w:spacing w:after="288" w:line="600" w:lineRule="auto"/>
        <w:rPr>
          <w:rFonts w:ascii="Times New Roman" w:eastAsia="Times New Roman" w:hAnsi="Times New Roman" w:cs="Times New Roman"/>
          <w:color w:val="0D0D0D" w:themeColor="text1" w:themeTint="F2"/>
          <w:sz w:val="44"/>
          <w:szCs w:val="44"/>
        </w:rPr>
      </w:pPr>
      <w:r>
        <w:rPr>
          <w:rFonts w:ascii="Times New Roman" w:eastAsia="Times New Roman" w:hAnsi="Times New Roman" w:cs="Times New Roman"/>
          <w:color w:val="0D0D0D" w:themeColor="text1" w:themeTint="F2"/>
          <w:sz w:val="44"/>
          <w:szCs w:val="44"/>
        </w:rPr>
        <w:t>The bovine large intestine consists of the cecum, the ascending, transverse, and descending colon, and the rectum (</w:t>
      </w:r>
      <w:hyperlink r:id="rId4" w:tgtFrame="_blank" w:history="1">
        <w:r>
          <w:rPr>
            <w:rStyle w:val="Hyperlink"/>
            <w:rFonts w:ascii="Times New Roman" w:eastAsia="Times New Roman" w:hAnsi="Times New Roman" w:cs="Times New Roman"/>
            <w:color w:val="0D0D0D" w:themeColor="text1" w:themeTint="F2"/>
            <w:sz w:val="44"/>
            <w:szCs w:val="44"/>
          </w:rPr>
          <w:t>Fig. 1</w:t>
        </w:r>
      </w:hyperlink>
      <w:r>
        <w:rPr>
          <w:rFonts w:ascii="Times New Roman" w:eastAsia="Times New Roman" w:hAnsi="Times New Roman" w:cs="Times New Roman"/>
          <w:color w:val="0D0D0D" w:themeColor="text1" w:themeTint="F2"/>
          <w:sz w:val="44"/>
          <w:szCs w:val="44"/>
        </w:rPr>
        <w:t>). The cecum usually lies in the supraomental recess with its blind end directed caudally toward the pelvis. It is connected ventrally to the ileum by the ileocecal fold, which contains blood vessels and nerves, and dorsally to the proxim</w:t>
      </w:r>
      <w:r>
        <w:rPr>
          <w:rFonts w:ascii="Times New Roman" w:eastAsia="Times New Roman" w:hAnsi="Times New Roman" w:cs="Times New Roman"/>
          <w:color w:val="0D0D0D" w:themeColor="text1" w:themeTint="F2"/>
          <w:sz w:val="44"/>
          <w:szCs w:val="44"/>
        </w:rPr>
        <w:t>al loop of the ascending colon (PLAC) through the short cecocolic band. At the ileocecocolic junction, the cecum continues as the PLAC without visible transition. After extending cranially to the level of the 12th rib, the PLAC turns back laterally until i</w:t>
      </w:r>
      <w:r>
        <w:rPr>
          <w:rFonts w:ascii="Times New Roman" w:eastAsia="Times New Roman" w:hAnsi="Times New Roman" w:cs="Times New Roman"/>
          <w:color w:val="0D0D0D" w:themeColor="text1" w:themeTint="F2"/>
          <w:sz w:val="44"/>
          <w:szCs w:val="44"/>
        </w:rPr>
        <w:t>t reaches the caudal flexure of the duodenum. There, it turns around cranially and continues as the spiral colon (spiral loop of the ascending colon), which is embedded in its mesentery in the form of a flat oval. The spiral colon consists of centripetal a</w:t>
      </w:r>
      <w:r>
        <w:rPr>
          <w:rFonts w:ascii="Times New Roman" w:eastAsia="Times New Roman" w:hAnsi="Times New Roman" w:cs="Times New Roman"/>
          <w:color w:val="0D0D0D" w:themeColor="text1" w:themeTint="F2"/>
          <w:sz w:val="44"/>
          <w:szCs w:val="44"/>
        </w:rPr>
        <w:t>nd centrifugal coils (with 1.5 to 2 revolutions each). The distal loop of the ascending colon runs first in a caudal, then in a cranial direction, and leads to the descending colon over the short transverse colon, which crosses from the right to the left s</w:t>
      </w:r>
      <w:r>
        <w:rPr>
          <w:rFonts w:ascii="Times New Roman" w:eastAsia="Times New Roman" w:hAnsi="Times New Roman" w:cs="Times New Roman"/>
          <w:color w:val="0D0D0D" w:themeColor="text1" w:themeTint="F2"/>
          <w:sz w:val="44"/>
          <w:szCs w:val="44"/>
        </w:rPr>
        <w:t xml:space="preserve">ide of the abdomen in front of the cranial mesenteric artery. The rectum lies mostly in the peritoneal part of the pelvic cavity. </w:t>
      </w:r>
    </w:p>
    <w:p w14:paraId="2F14D084" w14:textId="77777777" w:rsidR="00000000" w:rsidRDefault="000D6C8A">
      <w:pPr>
        <w:spacing w:after="0" w:line="600" w:lineRule="auto"/>
        <w:rPr>
          <w:rFonts w:ascii="Times New Roman" w:eastAsia="Times New Roman" w:hAnsi="Times New Roman" w:cs="Times New Roman"/>
          <w:color w:val="0D0D0D" w:themeColor="text1" w:themeTint="F2"/>
          <w:sz w:val="44"/>
          <w:szCs w:val="44"/>
        </w:rPr>
      </w:pPr>
      <w:r>
        <w:rPr>
          <w:noProof/>
        </w:rPr>
        <w:drawing>
          <wp:anchor distT="0" distB="0" distL="114300" distR="114300" simplePos="0" relativeHeight="251658240" behindDoc="0" locked="0" layoutInCell="1" allowOverlap="1" wp14:anchorId="432F31AA" wp14:editId="04913103">
            <wp:simplePos x="0" y="0"/>
            <wp:positionH relativeFrom="column">
              <wp:align>left</wp:align>
            </wp:positionH>
            <wp:positionV relativeFrom="paragraph">
              <wp:posOffset>8305165</wp:posOffset>
            </wp:positionV>
            <wp:extent cx="7835265" cy="5256530"/>
            <wp:effectExtent l="0" t="0" r="0" b="1270"/>
            <wp:wrapThrough wrapText="bothSides">
              <wp:wrapPolygon edited="0">
                <wp:start x="0" y="0"/>
                <wp:lineTo x="0" y="21527"/>
                <wp:lineTo x="21532" y="21527"/>
                <wp:lineTo x="21532" y="0"/>
                <wp:lineTo x="0" y="0"/>
              </wp:wrapPolygon>
            </wp:wrapThrough>
            <wp:docPr id="2" name="Picture 1" descr=" Opens large image">
              <a:hlinkClick xmlns:a="http://schemas.openxmlformats.org/drawingml/2006/main" r:id="rId5"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Opens large image">
                      <a:hlinkClick r:id="rId5" tgtFrame="new"/>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5265" cy="5256530"/>
                    </a:xfrm>
                    <a:prstGeom prst="rect">
                      <a:avLst/>
                    </a:prstGeom>
                    <a:noFill/>
                  </pic:spPr>
                </pic:pic>
              </a:graphicData>
            </a:graphic>
            <wp14:sizeRelH relativeFrom="page">
              <wp14:pctWidth>0</wp14:pctWidth>
            </wp14:sizeRelH>
            <wp14:sizeRelV relativeFrom="page">
              <wp14:pctHeight>0</wp14:pctHeight>
            </wp14:sizeRelV>
          </wp:anchor>
        </w:drawing>
      </w:r>
      <w:bookmarkStart w:id="1" w:name="modal"/>
      <w:bookmarkEnd w:id="1"/>
    </w:p>
    <w:p w14:paraId="4C9030AB" w14:textId="77777777" w:rsidR="00000000" w:rsidRDefault="000D6C8A">
      <w:pPr>
        <w:spacing w:after="45" w:line="600" w:lineRule="auto"/>
        <w:outlineLvl w:val="3"/>
        <w:rPr>
          <w:rFonts w:ascii="Times New Roman" w:eastAsia="Times New Roman" w:hAnsi="Times New Roman" w:cs="Times New Roman"/>
          <w:color w:val="0D0D0D" w:themeColor="text1" w:themeTint="F2"/>
          <w:sz w:val="44"/>
          <w:szCs w:val="44"/>
        </w:rPr>
      </w:pPr>
    </w:p>
    <w:p w14:paraId="52A7EC5B" w14:textId="77777777" w:rsidR="00000000" w:rsidRDefault="000D6C8A">
      <w:pPr>
        <w:spacing w:after="45" w:line="600" w:lineRule="auto"/>
        <w:outlineLvl w:val="3"/>
        <w:rPr>
          <w:rFonts w:ascii="Times New Roman" w:eastAsia="Times New Roman" w:hAnsi="Times New Roman" w:cs="Times New Roman"/>
          <w:color w:val="0D0D0D" w:themeColor="text1" w:themeTint="F2"/>
          <w:sz w:val="44"/>
          <w:szCs w:val="44"/>
        </w:rPr>
      </w:pPr>
    </w:p>
    <w:p w14:paraId="0F234FE7" w14:textId="77777777" w:rsidR="00000000" w:rsidRDefault="000D6C8A">
      <w:pPr>
        <w:spacing w:after="45" w:line="600" w:lineRule="auto"/>
        <w:outlineLvl w:val="3"/>
        <w:rPr>
          <w:rFonts w:ascii="Times New Roman" w:eastAsia="Times New Roman" w:hAnsi="Times New Roman" w:cs="Times New Roman"/>
          <w:color w:val="0D0D0D" w:themeColor="text1" w:themeTint="F2"/>
          <w:sz w:val="44"/>
          <w:szCs w:val="44"/>
        </w:rPr>
      </w:pPr>
    </w:p>
    <w:p w14:paraId="58BD1986" w14:textId="77777777" w:rsidR="00000000" w:rsidRDefault="000D6C8A">
      <w:pPr>
        <w:spacing w:after="45" w:line="600" w:lineRule="auto"/>
        <w:outlineLvl w:val="3"/>
        <w:rPr>
          <w:rFonts w:ascii="Times New Roman" w:eastAsia="Times New Roman" w:hAnsi="Times New Roman" w:cs="Times New Roman"/>
          <w:color w:val="0D0D0D" w:themeColor="text1" w:themeTint="F2"/>
          <w:sz w:val="44"/>
          <w:szCs w:val="44"/>
        </w:rPr>
      </w:pPr>
    </w:p>
    <w:p w14:paraId="698903E4" w14:textId="77777777" w:rsidR="00000000" w:rsidRDefault="000D6C8A">
      <w:pPr>
        <w:spacing w:after="45" w:line="600" w:lineRule="auto"/>
        <w:outlineLvl w:val="3"/>
        <w:rPr>
          <w:rFonts w:ascii="Times New Roman" w:eastAsia="Times New Roman" w:hAnsi="Times New Roman" w:cs="Times New Roman"/>
          <w:color w:val="0D0D0D" w:themeColor="text1" w:themeTint="F2"/>
          <w:sz w:val="44"/>
          <w:szCs w:val="44"/>
        </w:rPr>
      </w:pPr>
    </w:p>
    <w:p w14:paraId="48673657" w14:textId="77777777" w:rsidR="00000000" w:rsidRDefault="000D6C8A">
      <w:pPr>
        <w:spacing w:after="45" w:line="600" w:lineRule="auto"/>
        <w:outlineLvl w:val="3"/>
        <w:rPr>
          <w:rFonts w:ascii="Times New Roman" w:eastAsia="Times New Roman" w:hAnsi="Times New Roman" w:cs="Times New Roman"/>
          <w:color w:val="0D0D0D" w:themeColor="text1" w:themeTint="F2"/>
          <w:sz w:val="44"/>
          <w:szCs w:val="44"/>
        </w:rPr>
      </w:pPr>
    </w:p>
    <w:p w14:paraId="3A9C92C1" w14:textId="77777777" w:rsidR="00000000" w:rsidRDefault="000D6C8A">
      <w:pPr>
        <w:spacing w:after="45" w:line="600" w:lineRule="auto"/>
        <w:outlineLvl w:val="3"/>
        <w:rPr>
          <w:rFonts w:ascii="Times New Roman" w:eastAsia="Times New Roman" w:hAnsi="Times New Roman" w:cs="Times New Roman"/>
          <w:color w:val="0D0D0D" w:themeColor="text1" w:themeTint="F2"/>
          <w:sz w:val="44"/>
          <w:szCs w:val="44"/>
        </w:rPr>
      </w:pPr>
      <w:r>
        <w:rPr>
          <w:rFonts w:ascii="Times New Roman" w:eastAsia="Times New Roman" w:hAnsi="Times New Roman" w:cs="Times New Roman"/>
          <w:color w:val="0D0D0D" w:themeColor="text1" w:themeTint="F2"/>
          <w:sz w:val="44"/>
          <w:szCs w:val="44"/>
        </w:rPr>
        <w:t>Fig. 1</w:t>
      </w:r>
    </w:p>
    <w:p w14:paraId="23B6C637" w14:textId="77777777" w:rsidR="00000000" w:rsidRDefault="000D6C8A">
      <w:pPr>
        <w:spacing w:after="288" w:line="600" w:lineRule="auto"/>
        <w:rPr>
          <w:rFonts w:ascii="Helvetica" w:eastAsia="Times New Roman" w:hAnsi="Helvetica" w:cs="Helvetica"/>
          <w:color w:val="333333"/>
          <w:sz w:val="18"/>
          <w:szCs w:val="18"/>
        </w:rPr>
      </w:pPr>
      <w:r>
        <w:rPr>
          <w:rFonts w:ascii="Times New Roman" w:eastAsia="Times New Roman" w:hAnsi="Times New Roman" w:cs="Times New Roman"/>
          <w:color w:val="0D0D0D" w:themeColor="text1" w:themeTint="F2"/>
          <w:sz w:val="44"/>
          <w:szCs w:val="44"/>
        </w:rPr>
        <w:t>The bovine large intestine. A, ileum; B, cecum; C, proximal loop of the ascending colon; D, spiral loop of the ascending colon; E, distal loop of t</w:t>
      </w:r>
      <w:r>
        <w:rPr>
          <w:rFonts w:ascii="Times New Roman" w:eastAsia="Times New Roman" w:hAnsi="Times New Roman" w:cs="Times New Roman"/>
          <w:color w:val="0D0D0D" w:themeColor="text1" w:themeTint="F2"/>
          <w:sz w:val="44"/>
          <w:szCs w:val="44"/>
        </w:rPr>
        <w:t>he ascending colon; F, transverse colon; G, descending colon; H, rectum; a, ileocecal fold. The cecocolic fold between the cecum and the proximal loop of the ascending colon is not visible under the distal loop of the ascending colon</w:t>
      </w:r>
      <w:r>
        <w:rPr>
          <w:rFonts w:ascii="Helvetica" w:eastAsia="Times New Roman" w:hAnsi="Helvetica" w:cs="Helvetica"/>
          <w:color w:val="333333"/>
          <w:sz w:val="18"/>
          <w:szCs w:val="18"/>
        </w:rPr>
        <w:t>.</w:t>
      </w:r>
    </w:p>
    <w:p w14:paraId="35DEE620" w14:textId="77777777" w:rsidR="00000000" w:rsidRDefault="000D6C8A"/>
    <w:sectPr w:rsidR="00000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A"/>
    <w:rsid w:val="000D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3BB00F"/>
  <w15:chartTrackingRefBased/>
  <w15:docId w15:val="{F52B46C5-A937-4F5F-B18B-86916992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els-jbs-prod-cdn.literatumonline.com/cms/attachment/659944d1-029b-415b-8485-4b1efa34a225/gr1.jpg" TargetMode="External"/><Relationship Id="rId4" Type="http://schemas.openxmlformats.org/officeDocument/2006/relationships/hyperlink" Target="https://els-jbs-prod-cdn.literatumonline.com/cms/attachment/2006032333/2027075683/gr1.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1529</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chanique blair</dc:creator>
  <cp:keywords/>
  <dc:description/>
  <cp:lastModifiedBy>chanique blair</cp:lastModifiedBy>
  <cp:revision>2</cp:revision>
  <dcterms:created xsi:type="dcterms:W3CDTF">2019-11-24T04:16:00Z</dcterms:created>
  <dcterms:modified xsi:type="dcterms:W3CDTF">2019-11-24T04:16:00Z</dcterms:modified>
</cp:coreProperties>
</file>