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7BE1" w14:textId="06F77CC1" w:rsidR="001E6340" w:rsidRDefault="001E6340">
      <w:bookmarkStart w:id="0" w:name="_GoBack"/>
      <w:bookmarkEnd w:id="0"/>
    </w:p>
    <w:p w14:paraId="5F79AF09" w14:textId="5A3CCB94" w:rsidR="00A5778A" w:rsidRPr="00A5778A" w:rsidRDefault="00A5778A" w:rsidP="00A5778A"/>
    <w:tbl>
      <w:tblPr>
        <w:tblStyle w:val="TableGrid"/>
        <w:tblpPr w:leftFromText="180" w:rightFromText="180" w:vertAnchor="text" w:horzAnchor="margin" w:tblpY="362"/>
        <w:tblW w:w="9535" w:type="dxa"/>
        <w:tblLook w:val="04A0" w:firstRow="1" w:lastRow="0" w:firstColumn="1" w:lastColumn="0" w:noHBand="0" w:noVBand="1"/>
      </w:tblPr>
      <w:tblGrid>
        <w:gridCol w:w="1305"/>
        <w:gridCol w:w="3515"/>
        <w:gridCol w:w="1314"/>
        <w:gridCol w:w="1781"/>
        <w:gridCol w:w="1620"/>
      </w:tblGrid>
      <w:tr w:rsidR="00A5778A" w14:paraId="5851CD7C" w14:textId="77777777" w:rsidTr="008175A9">
        <w:tc>
          <w:tcPr>
            <w:tcW w:w="1305" w:type="dxa"/>
            <w:shd w:val="clear" w:color="auto" w:fill="FFD966" w:themeFill="accent4" w:themeFillTint="99"/>
          </w:tcPr>
          <w:p w14:paraId="41309BB9" w14:textId="77777777" w:rsidR="00A5778A" w:rsidRDefault="00A5778A" w:rsidP="00A5778A">
            <w:pPr>
              <w:jc w:val="center"/>
            </w:pPr>
            <w:r>
              <w:t>DRUG</w:t>
            </w:r>
          </w:p>
        </w:tc>
        <w:tc>
          <w:tcPr>
            <w:tcW w:w="3515" w:type="dxa"/>
            <w:shd w:val="clear" w:color="auto" w:fill="FFD966" w:themeFill="accent4" w:themeFillTint="99"/>
          </w:tcPr>
          <w:p w14:paraId="00D2D46A" w14:textId="77777777" w:rsidR="00A5778A" w:rsidRDefault="00A5778A" w:rsidP="00A5778A">
            <w:pPr>
              <w:jc w:val="center"/>
            </w:pPr>
            <w:r>
              <w:t>INDICATIONS</w:t>
            </w:r>
          </w:p>
        </w:tc>
        <w:tc>
          <w:tcPr>
            <w:tcW w:w="1314" w:type="dxa"/>
            <w:shd w:val="clear" w:color="auto" w:fill="FFD966" w:themeFill="accent4" w:themeFillTint="99"/>
          </w:tcPr>
          <w:p w14:paraId="332B8F92" w14:textId="77777777" w:rsidR="00A5778A" w:rsidRDefault="00A5778A" w:rsidP="00A5778A">
            <w:pPr>
              <w:jc w:val="center"/>
            </w:pPr>
            <w:r>
              <w:t>DOSE</w:t>
            </w:r>
          </w:p>
        </w:tc>
        <w:tc>
          <w:tcPr>
            <w:tcW w:w="1781" w:type="dxa"/>
            <w:shd w:val="clear" w:color="auto" w:fill="FFD966" w:themeFill="accent4" w:themeFillTint="99"/>
          </w:tcPr>
          <w:p w14:paraId="292F9C33" w14:textId="77777777" w:rsidR="00A5778A" w:rsidRDefault="00A5778A" w:rsidP="00A5778A">
            <w:pPr>
              <w:jc w:val="center"/>
            </w:pPr>
            <w:r>
              <w:t>ADVERSE REACTIONS</w:t>
            </w:r>
          </w:p>
        </w:tc>
        <w:tc>
          <w:tcPr>
            <w:tcW w:w="1620" w:type="dxa"/>
            <w:shd w:val="clear" w:color="auto" w:fill="FFD966" w:themeFill="accent4" w:themeFillTint="99"/>
          </w:tcPr>
          <w:p w14:paraId="22880C6F" w14:textId="77777777" w:rsidR="00A5778A" w:rsidRDefault="00A5778A" w:rsidP="00A5778A">
            <w:pPr>
              <w:jc w:val="center"/>
            </w:pPr>
            <w:r>
              <w:t>WITHDRAWAL TIME</w:t>
            </w:r>
          </w:p>
        </w:tc>
      </w:tr>
      <w:tr w:rsidR="00A5778A" w14:paraId="7740DC91" w14:textId="77777777" w:rsidTr="008175A9">
        <w:tc>
          <w:tcPr>
            <w:tcW w:w="1305" w:type="dxa"/>
          </w:tcPr>
          <w:p w14:paraId="5544F75C" w14:textId="77777777" w:rsidR="00A5778A" w:rsidRDefault="00A5778A" w:rsidP="00A5778A">
            <w:r>
              <w:t>LIDOCAINE</w:t>
            </w:r>
          </w:p>
        </w:tc>
        <w:tc>
          <w:tcPr>
            <w:tcW w:w="3515" w:type="dxa"/>
          </w:tcPr>
          <w:p w14:paraId="51D25665" w14:textId="77777777" w:rsidR="00A5778A" w:rsidRPr="00B1310F" w:rsidRDefault="00A5778A" w:rsidP="00A5778A">
            <w:pPr>
              <w:rPr>
                <w:rFonts w:cstheme="minorHAnsi"/>
              </w:rPr>
            </w:pPr>
            <w:r w:rsidRPr="00B1310F">
              <w:rPr>
                <w:rFonts w:cstheme="minorHAnsi"/>
              </w:rPr>
              <w:t>The use of lidocaine in veterinary medicine is extra label. Provides 100% local nerve block.</w:t>
            </w:r>
          </w:p>
          <w:p w14:paraId="0D492F98" w14:textId="77777777" w:rsidR="00A5778A" w:rsidRPr="00B1310F" w:rsidRDefault="00A5778A" w:rsidP="00A5778A">
            <w:pPr>
              <w:rPr>
                <w:rFonts w:cstheme="minorHAnsi"/>
              </w:rPr>
            </w:pPr>
          </w:p>
          <w:p w14:paraId="4BB397F6" w14:textId="34DD9626" w:rsidR="00A5778A" w:rsidRPr="00B1310F" w:rsidRDefault="00A5778A" w:rsidP="00A5778A">
            <w:pPr>
              <w:rPr>
                <w:rFonts w:cstheme="minorHAnsi"/>
                <w:shd w:val="clear" w:color="auto" w:fill="FFFFFF"/>
              </w:rPr>
            </w:pPr>
            <w:r w:rsidRPr="00B1310F">
              <w:rPr>
                <w:rFonts w:cstheme="minorHAnsi"/>
                <w:shd w:val="clear" w:color="auto" w:fill="FFFFFF"/>
              </w:rPr>
              <w:t>Particular care should be taken in young calves not to exceed the toxic dose of lidocaine</w:t>
            </w:r>
            <w:r w:rsidR="00501BFE">
              <w:rPr>
                <w:rFonts w:cstheme="minorHAnsi"/>
                <w:shd w:val="clear" w:color="auto" w:fill="FFFFFF"/>
              </w:rPr>
              <w:t xml:space="preserve"> </w:t>
            </w:r>
            <w:r w:rsidRPr="00B1310F">
              <w:rPr>
                <w:rFonts w:cstheme="minorHAnsi"/>
                <w:shd w:val="clear" w:color="auto" w:fill="FFFFFF"/>
              </w:rPr>
              <w:t>(10 mg/kg). Dilution of 2% lidocaine in saline can facilitate ease of distribution when restricted amounts are necessary</w:t>
            </w:r>
            <w:r w:rsidRPr="00B1310F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14" w:type="dxa"/>
          </w:tcPr>
          <w:p w14:paraId="43D9859E" w14:textId="77777777" w:rsidR="00A5778A" w:rsidRDefault="00A5778A" w:rsidP="00A5778A">
            <w:r>
              <w:t>1-2MG/KG</w:t>
            </w:r>
          </w:p>
        </w:tc>
        <w:tc>
          <w:tcPr>
            <w:tcW w:w="1781" w:type="dxa"/>
          </w:tcPr>
          <w:p w14:paraId="0AE7E2A8" w14:textId="77777777" w:rsidR="00A5778A" w:rsidRDefault="00A5778A" w:rsidP="00A5778A">
            <w:r>
              <w:t>CNS signs, cardiac collapse, injection site necrosis</w:t>
            </w:r>
          </w:p>
        </w:tc>
        <w:tc>
          <w:tcPr>
            <w:tcW w:w="1620" w:type="dxa"/>
          </w:tcPr>
          <w:p w14:paraId="7CEEFBDA" w14:textId="1AD08697" w:rsidR="00A5778A" w:rsidRDefault="00735FFB" w:rsidP="00A5778A">
            <w:r>
              <w:t>Meat/milk – 24 hours</w:t>
            </w:r>
          </w:p>
        </w:tc>
      </w:tr>
      <w:tr w:rsidR="00A5778A" w14:paraId="661AD557" w14:textId="77777777" w:rsidTr="008175A9">
        <w:tc>
          <w:tcPr>
            <w:tcW w:w="1305" w:type="dxa"/>
          </w:tcPr>
          <w:p w14:paraId="0E5AA8FB" w14:textId="77777777" w:rsidR="00A5778A" w:rsidRDefault="00A5778A" w:rsidP="00A5778A">
            <w:r>
              <w:t>PENSTREP</w:t>
            </w:r>
          </w:p>
        </w:tc>
        <w:tc>
          <w:tcPr>
            <w:tcW w:w="3515" w:type="dxa"/>
          </w:tcPr>
          <w:p w14:paraId="471153DD" w14:textId="616668CC" w:rsidR="00A5778A" w:rsidRDefault="00A5778A" w:rsidP="00A5778A">
            <w:r>
              <w:t>Effective against gram +</w:t>
            </w:r>
            <w:proofErr w:type="spellStart"/>
            <w:r>
              <w:t>ve</w:t>
            </w:r>
            <w:proofErr w:type="spellEnd"/>
            <w:r>
              <w:t xml:space="preserve"> and gram -</w:t>
            </w:r>
            <w:proofErr w:type="spellStart"/>
            <w:r>
              <w:t>ve</w:t>
            </w:r>
            <w:proofErr w:type="spellEnd"/>
            <w:r w:rsidR="00501BFE">
              <w:t>, aerobic and anaerobic organisms</w:t>
            </w:r>
          </w:p>
        </w:tc>
        <w:tc>
          <w:tcPr>
            <w:tcW w:w="1314" w:type="dxa"/>
          </w:tcPr>
          <w:p w14:paraId="7ECB2557" w14:textId="77777777" w:rsidR="00A5778A" w:rsidRDefault="00A5778A" w:rsidP="00A5778A">
            <w:r>
              <w:t>20,000IU/kg IM</w:t>
            </w:r>
          </w:p>
        </w:tc>
        <w:tc>
          <w:tcPr>
            <w:tcW w:w="1781" w:type="dxa"/>
          </w:tcPr>
          <w:p w14:paraId="52647590" w14:textId="77777777" w:rsidR="00A5778A" w:rsidRDefault="00A5778A" w:rsidP="00A5778A">
            <w:proofErr w:type="spellStart"/>
            <w:r>
              <w:t>Vestibulotoxic</w:t>
            </w:r>
            <w:proofErr w:type="spellEnd"/>
            <w:r>
              <w:t>, nephrotoxic, neuromuscular blockade</w:t>
            </w:r>
          </w:p>
        </w:tc>
        <w:tc>
          <w:tcPr>
            <w:tcW w:w="1620" w:type="dxa"/>
          </w:tcPr>
          <w:p w14:paraId="72FEF1FF" w14:textId="77777777" w:rsidR="00A5778A" w:rsidRDefault="00A5778A" w:rsidP="00A5778A">
            <w:r>
              <w:t>Meat – 30 days</w:t>
            </w:r>
          </w:p>
          <w:p w14:paraId="3996B7ED" w14:textId="77777777" w:rsidR="00A5778A" w:rsidRDefault="00A5778A" w:rsidP="00A5778A">
            <w:r>
              <w:t>Milk – 4 days</w:t>
            </w:r>
          </w:p>
        </w:tc>
      </w:tr>
      <w:tr w:rsidR="00A5778A" w14:paraId="2568D4F0" w14:textId="77777777" w:rsidTr="008175A9">
        <w:tc>
          <w:tcPr>
            <w:tcW w:w="1305" w:type="dxa"/>
          </w:tcPr>
          <w:p w14:paraId="2E774712" w14:textId="77777777" w:rsidR="00A5778A" w:rsidRDefault="00A5778A" w:rsidP="00A5778A">
            <w:bookmarkStart w:id="1" w:name="_Hlk19971160"/>
            <w:r>
              <w:t>TETANUS ANTITOXIN</w:t>
            </w:r>
          </w:p>
        </w:tc>
        <w:tc>
          <w:tcPr>
            <w:tcW w:w="3515" w:type="dxa"/>
          </w:tcPr>
          <w:p w14:paraId="30EE3690" w14:textId="77777777" w:rsidR="00A5778A" w:rsidRPr="00972862" w:rsidRDefault="00A5778A" w:rsidP="00A5778A">
            <w:pPr>
              <w:rPr>
                <w:rFonts w:ascii="Arial" w:hAnsi="Arial" w:cs="Arial"/>
              </w:rPr>
            </w:pPr>
            <w:r w:rsidRPr="00972862">
              <w:rPr>
                <w:rFonts w:ascii="Arial" w:hAnsi="Arial" w:cs="Arial"/>
              </w:rPr>
              <w:t>Used especially in goats to neutralize tetanus toxins.</w:t>
            </w:r>
          </w:p>
          <w:p w14:paraId="3DAFEE8E" w14:textId="77777777" w:rsidR="00A5778A" w:rsidRDefault="00A5778A" w:rsidP="00A5778A">
            <w:r w:rsidRPr="0097286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Prevention of tetanus in wound management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and t</w:t>
            </w:r>
            <w:r w:rsidRPr="0097286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reatment of clinical tetanus</w:t>
            </w:r>
          </w:p>
        </w:tc>
        <w:tc>
          <w:tcPr>
            <w:tcW w:w="1314" w:type="dxa"/>
          </w:tcPr>
          <w:p w14:paraId="215F98ED" w14:textId="77777777" w:rsidR="00A5778A" w:rsidRDefault="00A5778A" w:rsidP="00A5778A">
            <w:r>
              <w:t>1-2MG/KG</w:t>
            </w:r>
          </w:p>
          <w:p w14:paraId="6B7A7FAE" w14:textId="77777777" w:rsidR="00A5778A" w:rsidRDefault="00A5778A" w:rsidP="00A5778A"/>
          <w:p w14:paraId="55813045" w14:textId="77777777" w:rsidR="00A5778A" w:rsidRDefault="00A5778A" w:rsidP="00A5778A">
            <w:r>
              <w:t>1500 units SC/IM for prevention</w:t>
            </w:r>
          </w:p>
        </w:tc>
        <w:tc>
          <w:tcPr>
            <w:tcW w:w="1781" w:type="dxa"/>
          </w:tcPr>
          <w:p w14:paraId="58259CDC" w14:textId="77777777" w:rsidR="00A5778A" w:rsidRDefault="00A5778A" w:rsidP="00A5778A">
            <w:r>
              <w:t>Serum sickness</w:t>
            </w:r>
          </w:p>
        </w:tc>
        <w:tc>
          <w:tcPr>
            <w:tcW w:w="1620" w:type="dxa"/>
          </w:tcPr>
          <w:p w14:paraId="35FF7CF0" w14:textId="4B7BF763" w:rsidR="00A5778A" w:rsidRDefault="00735FFB" w:rsidP="00A5778A">
            <w:r>
              <w:t>Meat/Milk – 24 hours</w:t>
            </w:r>
          </w:p>
        </w:tc>
      </w:tr>
      <w:bookmarkEnd w:id="1"/>
    </w:tbl>
    <w:p w14:paraId="695AC867" w14:textId="5AC6F6E0" w:rsidR="00A5778A" w:rsidRPr="00A5778A" w:rsidRDefault="00A5778A" w:rsidP="00A5778A"/>
    <w:p w14:paraId="1DF9D8F4" w14:textId="1504B97F" w:rsidR="00A5778A" w:rsidRPr="00A5778A" w:rsidRDefault="00A5778A" w:rsidP="00A5778A"/>
    <w:p w14:paraId="714D0118" w14:textId="6BD15250" w:rsidR="00A5778A" w:rsidRPr="00A5778A" w:rsidRDefault="00D364BF" w:rsidP="00D364BF">
      <w:pPr>
        <w:tabs>
          <w:tab w:val="left" w:pos="7440"/>
        </w:tabs>
      </w:pPr>
      <w:r>
        <w:tab/>
        <w:t>Page 1 of 2</w:t>
      </w:r>
    </w:p>
    <w:p w14:paraId="7387613C" w14:textId="2BAA4305" w:rsidR="00A5778A" w:rsidRPr="00A5778A" w:rsidRDefault="00A5778A" w:rsidP="00A5778A"/>
    <w:p w14:paraId="3DD9D2FC" w14:textId="1EA5A892" w:rsidR="00A5778A" w:rsidRDefault="00A5778A" w:rsidP="00A5778A"/>
    <w:p w14:paraId="5440A176" w14:textId="4E7EFD17" w:rsidR="00A5778A" w:rsidRDefault="00A5778A" w:rsidP="00A5778A"/>
    <w:p w14:paraId="78C0314C" w14:textId="00301791" w:rsidR="00A5778A" w:rsidRDefault="00A5778A" w:rsidP="00A5778A"/>
    <w:p w14:paraId="5004B8F7" w14:textId="6038CAC6" w:rsidR="00A5778A" w:rsidRDefault="00A5778A" w:rsidP="00A5778A"/>
    <w:p w14:paraId="7DC7FD7F" w14:textId="7C54DCBB" w:rsidR="00A5778A" w:rsidRDefault="00A5778A" w:rsidP="00A5778A"/>
    <w:p w14:paraId="5EA4EBD7" w14:textId="77F88552" w:rsidR="00A5778A" w:rsidRDefault="00A5778A" w:rsidP="00A5778A"/>
    <w:p w14:paraId="141FA26A" w14:textId="1CA6674B" w:rsidR="00A5778A" w:rsidRDefault="00A5778A" w:rsidP="00A5778A"/>
    <w:p w14:paraId="36D57739" w14:textId="364B8A6B" w:rsidR="00A5778A" w:rsidRDefault="00A5778A" w:rsidP="00A5778A"/>
    <w:p w14:paraId="0B09F401" w14:textId="77777777" w:rsidR="00A5778A" w:rsidRPr="00A5778A" w:rsidRDefault="00A5778A" w:rsidP="00A5778A"/>
    <w:p w14:paraId="0D0ABC15" w14:textId="6FDE1E95" w:rsidR="00A5778A" w:rsidRPr="00A5778A" w:rsidRDefault="00A5778A" w:rsidP="00A5778A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35"/>
        <w:gridCol w:w="1980"/>
        <w:gridCol w:w="2195"/>
        <w:gridCol w:w="2125"/>
        <w:gridCol w:w="1710"/>
      </w:tblGrid>
      <w:tr w:rsidR="00A5778A" w14:paraId="731EB6D0" w14:textId="77777777" w:rsidTr="00735FFB">
        <w:tc>
          <w:tcPr>
            <w:tcW w:w="1435" w:type="dxa"/>
            <w:shd w:val="clear" w:color="auto" w:fill="FFD966" w:themeFill="accent4" w:themeFillTint="99"/>
          </w:tcPr>
          <w:p w14:paraId="46E4F359" w14:textId="5D90DD32" w:rsidR="00A5778A" w:rsidRDefault="00A5778A" w:rsidP="00A5778A">
            <w:pPr>
              <w:jc w:val="center"/>
            </w:pPr>
            <w:r>
              <w:lastRenderedPageBreak/>
              <w:t>DRUG</w:t>
            </w:r>
          </w:p>
        </w:tc>
        <w:tc>
          <w:tcPr>
            <w:tcW w:w="1980" w:type="dxa"/>
            <w:shd w:val="clear" w:color="auto" w:fill="FFD966" w:themeFill="accent4" w:themeFillTint="99"/>
          </w:tcPr>
          <w:p w14:paraId="58586E7A" w14:textId="1982BF0D" w:rsidR="00A5778A" w:rsidRDefault="00A5778A" w:rsidP="00A5778A">
            <w:pPr>
              <w:jc w:val="center"/>
            </w:pPr>
            <w:r>
              <w:t>INDICATIONS</w:t>
            </w:r>
          </w:p>
        </w:tc>
        <w:tc>
          <w:tcPr>
            <w:tcW w:w="2195" w:type="dxa"/>
            <w:shd w:val="clear" w:color="auto" w:fill="FFD966" w:themeFill="accent4" w:themeFillTint="99"/>
          </w:tcPr>
          <w:p w14:paraId="539333A8" w14:textId="47E8212D" w:rsidR="00A5778A" w:rsidRDefault="00A5778A" w:rsidP="00A5778A">
            <w:pPr>
              <w:jc w:val="center"/>
            </w:pPr>
            <w:r>
              <w:t>DOSE</w:t>
            </w:r>
          </w:p>
        </w:tc>
        <w:tc>
          <w:tcPr>
            <w:tcW w:w="2125" w:type="dxa"/>
            <w:shd w:val="clear" w:color="auto" w:fill="FFD966" w:themeFill="accent4" w:themeFillTint="99"/>
          </w:tcPr>
          <w:p w14:paraId="51319F1A" w14:textId="2F4D91D1" w:rsidR="00A5778A" w:rsidRDefault="00A5778A" w:rsidP="00A5778A">
            <w:pPr>
              <w:jc w:val="center"/>
            </w:pPr>
            <w:r>
              <w:t>ADVERSE REACTIONS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14:paraId="77B197EF" w14:textId="4DDFC9EE" w:rsidR="00A5778A" w:rsidRDefault="00A5778A" w:rsidP="00A5778A">
            <w:pPr>
              <w:jc w:val="center"/>
            </w:pPr>
            <w:r>
              <w:t>WITHDRAWAL TIME</w:t>
            </w:r>
          </w:p>
        </w:tc>
      </w:tr>
      <w:tr w:rsidR="00A5778A" w14:paraId="573FC564" w14:textId="77777777" w:rsidTr="00735FFB">
        <w:tc>
          <w:tcPr>
            <w:tcW w:w="1435" w:type="dxa"/>
          </w:tcPr>
          <w:p w14:paraId="7C5847AA" w14:textId="47AB1DF8" w:rsidR="00A5778A" w:rsidRDefault="00A5778A" w:rsidP="00A5778A">
            <w:r>
              <w:t>KETAMINE</w:t>
            </w:r>
          </w:p>
        </w:tc>
        <w:tc>
          <w:tcPr>
            <w:tcW w:w="1980" w:type="dxa"/>
          </w:tcPr>
          <w:p w14:paraId="61C23992" w14:textId="3E8AE20B" w:rsidR="00A5778A" w:rsidRDefault="008E10E6" w:rsidP="00A5778A">
            <w:r>
              <w:t>Sedation</w:t>
            </w:r>
          </w:p>
        </w:tc>
        <w:tc>
          <w:tcPr>
            <w:tcW w:w="2195" w:type="dxa"/>
          </w:tcPr>
          <w:p w14:paraId="732776C5" w14:textId="34B48444" w:rsidR="00A5778A" w:rsidRDefault="008E10E6" w:rsidP="00A5778A">
            <w:r>
              <w:t>0.05mg/kg</w:t>
            </w:r>
          </w:p>
        </w:tc>
        <w:tc>
          <w:tcPr>
            <w:tcW w:w="2125" w:type="dxa"/>
          </w:tcPr>
          <w:p w14:paraId="4C045083" w14:textId="687B06E0" w:rsidR="00501BFE" w:rsidRDefault="00501BFE" w:rsidP="00A5778A">
            <w:r>
              <w:t>Hypertension, respiratory depression, hyperthermia.</w:t>
            </w:r>
          </w:p>
        </w:tc>
        <w:tc>
          <w:tcPr>
            <w:tcW w:w="1710" w:type="dxa"/>
          </w:tcPr>
          <w:p w14:paraId="05A1DC9B" w14:textId="77777777" w:rsidR="00A5778A" w:rsidRDefault="00CE6C75" w:rsidP="00A5778A">
            <w:r>
              <w:t>Meat – 7 days</w:t>
            </w:r>
          </w:p>
          <w:p w14:paraId="5C918FA0" w14:textId="7E5CB3FE" w:rsidR="00CE6C75" w:rsidRDefault="00CE6C75" w:rsidP="00A5778A">
            <w:r>
              <w:t>Milk – 3 days</w:t>
            </w:r>
          </w:p>
        </w:tc>
      </w:tr>
      <w:tr w:rsidR="00A5778A" w14:paraId="1C556333" w14:textId="77777777" w:rsidTr="00735FFB">
        <w:tc>
          <w:tcPr>
            <w:tcW w:w="1435" w:type="dxa"/>
          </w:tcPr>
          <w:p w14:paraId="4484661E" w14:textId="19F1BB76" w:rsidR="00A5778A" w:rsidRDefault="00A5778A" w:rsidP="00A5778A">
            <w:r>
              <w:t>XYLAZINE</w:t>
            </w:r>
          </w:p>
        </w:tc>
        <w:tc>
          <w:tcPr>
            <w:tcW w:w="1980" w:type="dxa"/>
          </w:tcPr>
          <w:p w14:paraId="264E701B" w14:textId="03840F6F" w:rsidR="00A5778A" w:rsidRDefault="00A5778A" w:rsidP="00A5778A">
            <w:r>
              <w:t>Standing sedation</w:t>
            </w:r>
          </w:p>
        </w:tc>
        <w:tc>
          <w:tcPr>
            <w:tcW w:w="2195" w:type="dxa"/>
          </w:tcPr>
          <w:p w14:paraId="2A2F822B" w14:textId="2D2F4B98" w:rsidR="00A5778A" w:rsidRDefault="00A5778A" w:rsidP="00A5778A">
            <w:r>
              <w:t>0.025mg/kg IV/IM</w:t>
            </w:r>
          </w:p>
        </w:tc>
        <w:tc>
          <w:tcPr>
            <w:tcW w:w="2125" w:type="dxa"/>
          </w:tcPr>
          <w:p w14:paraId="7BA17499" w14:textId="4FBEE031" w:rsidR="00A5778A" w:rsidRDefault="00501BFE" w:rsidP="00A5778A">
            <w:r>
              <w:t>Bradycardia, decreased BP, decreased GI motility, increased intracranial pressure.</w:t>
            </w:r>
          </w:p>
        </w:tc>
        <w:tc>
          <w:tcPr>
            <w:tcW w:w="1710" w:type="dxa"/>
          </w:tcPr>
          <w:p w14:paraId="12919044" w14:textId="77777777" w:rsidR="00A5778A" w:rsidRDefault="00501BFE" w:rsidP="00A5778A">
            <w:r>
              <w:t>Meat – 10 days</w:t>
            </w:r>
          </w:p>
          <w:p w14:paraId="7C030EA2" w14:textId="6895F7D7" w:rsidR="00501BFE" w:rsidRDefault="00501BFE" w:rsidP="00A5778A">
            <w:r>
              <w:t>Milk – 3 days</w:t>
            </w:r>
          </w:p>
        </w:tc>
      </w:tr>
      <w:tr w:rsidR="00A5778A" w14:paraId="011C0DEE" w14:textId="77777777" w:rsidTr="00735FFB">
        <w:tc>
          <w:tcPr>
            <w:tcW w:w="1435" w:type="dxa"/>
          </w:tcPr>
          <w:p w14:paraId="12CB693B" w14:textId="7012DB63" w:rsidR="00A5778A" w:rsidRDefault="00A5778A" w:rsidP="00A5778A">
            <w:bookmarkStart w:id="2" w:name="_Hlk19971573"/>
            <w:r>
              <w:t>TOLAZONINE</w:t>
            </w:r>
          </w:p>
        </w:tc>
        <w:tc>
          <w:tcPr>
            <w:tcW w:w="1980" w:type="dxa"/>
          </w:tcPr>
          <w:p w14:paraId="2090BDC6" w14:textId="463A34BA" w:rsidR="00A5778A" w:rsidRDefault="00A5778A" w:rsidP="00A5778A">
            <w:r>
              <w:t>Xylazine reversal</w:t>
            </w:r>
          </w:p>
        </w:tc>
        <w:tc>
          <w:tcPr>
            <w:tcW w:w="2195" w:type="dxa"/>
          </w:tcPr>
          <w:p w14:paraId="6BCD1764" w14:textId="7C296232" w:rsidR="00A5778A" w:rsidRDefault="00A5778A" w:rsidP="00A5778A">
            <w:r>
              <w:t>0.1mg/kg IV</w:t>
            </w:r>
          </w:p>
        </w:tc>
        <w:tc>
          <w:tcPr>
            <w:tcW w:w="2125" w:type="dxa"/>
          </w:tcPr>
          <w:p w14:paraId="36073597" w14:textId="7C2F124A" w:rsidR="00A5778A" w:rsidRDefault="00501BFE" w:rsidP="00A5778A">
            <w:r>
              <w:t>Tachycardia, peripheral vasodilation, hyperalgesia</w:t>
            </w:r>
          </w:p>
        </w:tc>
        <w:tc>
          <w:tcPr>
            <w:tcW w:w="1710" w:type="dxa"/>
          </w:tcPr>
          <w:p w14:paraId="2BE2FD4D" w14:textId="77777777" w:rsidR="00A5778A" w:rsidRDefault="00501BFE" w:rsidP="00A5778A">
            <w:r>
              <w:t>Meat – 8 days</w:t>
            </w:r>
          </w:p>
          <w:p w14:paraId="4D9FA8D0" w14:textId="4F1447C5" w:rsidR="00501BFE" w:rsidRDefault="00501BFE" w:rsidP="00A5778A">
            <w:r>
              <w:t>Milk – 2 days</w:t>
            </w:r>
          </w:p>
        </w:tc>
      </w:tr>
      <w:tr w:rsidR="00772BB4" w14:paraId="33543F7D" w14:textId="77777777" w:rsidTr="00735FFB">
        <w:tc>
          <w:tcPr>
            <w:tcW w:w="1435" w:type="dxa"/>
          </w:tcPr>
          <w:p w14:paraId="6273EF17" w14:textId="662975BE" w:rsidR="00772BB4" w:rsidRDefault="00772BB4" w:rsidP="00772BB4">
            <w:r>
              <w:t>EPINEPHRINE</w:t>
            </w:r>
          </w:p>
        </w:tc>
        <w:tc>
          <w:tcPr>
            <w:tcW w:w="1980" w:type="dxa"/>
          </w:tcPr>
          <w:p w14:paraId="14A83D3E" w14:textId="309833AB" w:rsidR="00772BB4" w:rsidRDefault="00772BB4" w:rsidP="00772BB4">
            <w:r>
              <w:t>Anaphylaxis</w:t>
            </w:r>
          </w:p>
        </w:tc>
        <w:tc>
          <w:tcPr>
            <w:tcW w:w="2195" w:type="dxa"/>
          </w:tcPr>
          <w:p w14:paraId="15423EFB" w14:textId="5A0301A2" w:rsidR="00772BB4" w:rsidRDefault="00772BB4" w:rsidP="00772BB4">
            <w:r>
              <w:t>0.02mg/kg IM</w:t>
            </w:r>
          </w:p>
        </w:tc>
        <w:tc>
          <w:tcPr>
            <w:tcW w:w="2125" w:type="dxa"/>
          </w:tcPr>
          <w:p w14:paraId="2976D34A" w14:textId="4E3839EB" w:rsidR="00772BB4" w:rsidRDefault="00983433" w:rsidP="00772BB4">
            <w:r>
              <w:t>Ventricular arrythmias, vasoconstriction, hypertension</w:t>
            </w:r>
          </w:p>
        </w:tc>
        <w:tc>
          <w:tcPr>
            <w:tcW w:w="1710" w:type="dxa"/>
          </w:tcPr>
          <w:p w14:paraId="4DAC1C15" w14:textId="77777777" w:rsidR="00772BB4" w:rsidRDefault="00735FFB" w:rsidP="00772BB4">
            <w:r>
              <w:t>Meat – 24 hours</w:t>
            </w:r>
          </w:p>
          <w:p w14:paraId="4E9488E3" w14:textId="20E98D0E" w:rsidR="00735FFB" w:rsidRDefault="00735FFB" w:rsidP="00772BB4">
            <w:r>
              <w:t>Milk – 24 hours</w:t>
            </w:r>
          </w:p>
        </w:tc>
      </w:tr>
      <w:tr w:rsidR="00772BB4" w14:paraId="51E7BF43" w14:textId="77777777" w:rsidTr="00735FFB">
        <w:tc>
          <w:tcPr>
            <w:tcW w:w="1435" w:type="dxa"/>
          </w:tcPr>
          <w:p w14:paraId="7B91C4C9" w14:textId="0C74B03D" w:rsidR="00772BB4" w:rsidRDefault="00772BB4" w:rsidP="00772BB4">
            <w:r>
              <w:t>ATROPINE</w:t>
            </w:r>
          </w:p>
        </w:tc>
        <w:tc>
          <w:tcPr>
            <w:tcW w:w="1980" w:type="dxa"/>
          </w:tcPr>
          <w:p w14:paraId="22373C72" w14:textId="06D2468A" w:rsidR="00772BB4" w:rsidRDefault="008E10E6" w:rsidP="00772BB4">
            <w:r>
              <w:t>Prevention of sinus bradycardia</w:t>
            </w:r>
          </w:p>
        </w:tc>
        <w:tc>
          <w:tcPr>
            <w:tcW w:w="2195" w:type="dxa"/>
          </w:tcPr>
          <w:p w14:paraId="3DE2358A" w14:textId="77777777" w:rsidR="00772BB4" w:rsidRDefault="006C3792" w:rsidP="00772BB4">
            <w:r>
              <w:t>Calves - 1.5-3mg/50kg</w:t>
            </w:r>
          </w:p>
          <w:p w14:paraId="3C16AAC5" w14:textId="6B749A1F" w:rsidR="006C3792" w:rsidRDefault="006C3792" w:rsidP="00772BB4">
            <w:r>
              <w:t>Adult – 3-6mg/100kg</w:t>
            </w:r>
          </w:p>
        </w:tc>
        <w:tc>
          <w:tcPr>
            <w:tcW w:w="2125" w:type="dxa"/>
          </w:tcPr>
          <w:p w14:paraId="4CA21ABD" w14:textId="0B3C9852" w:rsidR="00772BB4" w:rsidRDefault="00983433" w:rsidP="00772BB4">
            <w:r>
              <w:t>Constipation, tachycardia, urine retention.</w:t>
            </w:r>
          </w:p>
        </w:tc>
        <w:tc>
          <w:tcPr>
            <w:tcW w:w="1710" w:type="dxa"/>
          </w:tcPr>
          <w:p w14:paraId="69F6E407" w14:textId="77777777" w:rsidR="00772BB4" w:rsidRDefault="00CE6C75" w:rsidP="00772BB4">
            <w:r>
              <w:t>Meat- 14 days</w:t>
            </w:r>
          </w:p>
          <w:p w14:paraId="01E88FF8" w14:textId="4246EE76" w:rsidR="00CE6C75" w:rsidRDefault="00CE6C75" w:rsidP="00772BB4">
            <w:r>
              <w:t>Milk – 3 days</w:t>
            </w:r>
          </w:p>
        </w:tc>
      </w:tr>
    </w:tbl>
    <w:p w14:paraId="42A14096" w14:textId="14D45EAF" w:rsidR="00A5778A" w:rsidRPr="00A5778A" w:rsidRDefault="00A5778A" w:rsidP="00A5778A"/>
    <w:p w14:paraId="42145BC7" w14:textId="55C158DC" w:rsidR="00A5778A" w:rsidRPr="00A5778A" w:rsidRDefault="00D364BF" w:rsidP="00D364BF">
      <w:pPr>
        <w:tabs>
          <w:tab w:val="left" w:pos="7365"/>
        </w:tabs>
      </w:pPr>
      <w:r>
        <w:tab/>
        <w:t>Page 2 of 2</w:t>
      </w:r>
    </w:p>
    <w:p w14:paraId="0D29B659" w14:textId="144521D1" w:rsidR="00A5778A" w:rsidRPr="00A5778A" w:rsidRDefault="00A5778A" w:rsidP="00A5778A"/>
    <w:bookmarkEnd w:id="2"/>
    <w:p w14:paraId="3B2F0C38" w14:textId="16F48A27" w:rsidR="00A5778A" w:rsidRPr="00A5778A" w:rsidRDefault="00A5778A" w:rsidP="00A5778A"/>
    <w:p w14:paraId="3E64AA6C" w14:textId="36EACA2D" w:rsidR="00A5778A" w:rsidRPr="00A5778A" w:rsidRDefault="00A5778A" w:rsidP="00A5778A"/>
    <w:p w14:paraId="685AEB20" w14:textId="02FB0F1C" w:rsidR="00A5778A" w:rsidRPr="00A5778A" w:rsidRDefault="00A5778A" w:rsidP="00A5778A"/>
    <w:p w14:paraId="16FADDB9" w14:textId="3118C38C" w:rsidR="00A5778A" w:rsidRPr="00A5778A" w:rsidRDefault="00A5778A" w:rsidP="00A5778A"/>
    <w:p w14:paraId="1E129453" w14:textId="49D0EC0C" w:rsidR="00A5778A" w:rsidRPr="00A5778A" w:rsidRDefault="00A5778A" w:rsidP="00A5778A"/>
    <w:p w14:paraId="6EFC7587" w14:textId="6635AED5" w:rsidR="00A5778A" w:rsidRPr="00A5778A" w:rsidRDefault="00A5778A" w:rsidP="00A5778A"/>
    <w:p w14:paraId="348105B5" w14:textId="54C4D2E9" w:rsidR="00A5778A" w:rsidRPr="00A5778A" w:rsidRDefault="00A5778A" w:rsidP="00A5778A"/>
    <w:p w14:paraId="1DDC0C8A" w14:textId="77777777" w:rsidR="00A5778A" w:rsidRPr="00A5778A" w:rsidRDefault="00A5778A" w:rsidP="00A5778A"/>
    <w:sectPr w:rsidR="00A5778A" w:rsidRPr="00A5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C6"/>
    <w:rsid w:val="00181CAD"/>
    <w:rsid w:val="001E6340"/>
    <w:rsid w:val="003D4FE3"/>
    <w:rsid w:val="00501BFE"/>
    <w:rsid w:val="005976BF"/>
    <w:rsid w:val="00665F64"/>
    <w:rsid w:val="006C3792"/>
    <w:rsid w:val="00735FFB"/>
    <w:rsid w:val="00772BB4"/>
    <w:rsid w:val="008175A9"/>
    <w:rsid w:val="008B122E"/>
    <w:rsid w:val="008D1B1A"/>
    <w:rsid w:val="008E10E6"/>
    <w:rsid w:val="008F5FEC"/>
    <w:rsid w:val="00960BFD"/>
    <w:rsid w:val="00967DC6"/>
    <w:rsid w:val="00983433"/>
    <w:rsid w:val="00A5778A"/>
    <w:rsid w:val="00B1310F"/>
    <w:rsid w:val="00CE6C75"/>
    <w:rsid w:val="00D3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C31B"/>
  <w15:chartTrackingRefBased/>
  <w15:docId w15:val="{3A18AD19-BADF-407A-A0AE-F439202B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heeraman</dc:creator>
  <cp:keywords/>
  <dc:description/>
  <cp:lastModifiedBy>meera heeraman</cp:lastModifiedBy>
  <cp:revision>2</cp:revision>
  <dcterms:created xsi:type="dcterms:W3CDTF">2019-10-27T02:56:00Z</dcterms:created>
  <dcterms:modified xsi:type="dcterms:W3CDTF">2019-10-27T02:56:00Z</dcterms:modified>
</cp:coreProperties>
</file>