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"/>
        <w:tblpPr w:leftFromText="180" w:rightFromText="180" w:vertAnchor="text" w:horzAnchor="page" w:tblpX="123" w:tblpY="111"/>
        <w:tblW w:w="15560" w:type="dxa"/>
        <w:tblLayout w:type="fixed"/>
        <w:tblLook w:val="04A0" w:firstRow="1" w:lastRow="0" w:firstColumn="1" w:lastColumn="0" w:noHBand="0" w:noVBand="1"/>
      </w:tblPr>
      <w:tblGrid>
        <w:gridCol w:w="1676"/>
        <w:gridCol w:w="1344"/>
        <w:gridCol w:w="1470"/>
        <w:gridCol w:w="1710"/>
        <w:gridCol w:w="1440"/>
        <w:gridCol w:w="1530"/>
        <w:gridCol w:w="1710"/>
        <w:gridCol w:w="2103"/>
        <w:gridCol w:w="2577"/>
      </w:tblGrid>
      <w:tr w:rsidR="00582312" w:rsidRPr="00582312" w14:paraId="2E972AF0" w14:textId="77777777" w:rsidTr="000E7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6" w:type="dxa"/>
            <w:hideMark/>
          </w:tcPr>
          <w:p w14:paraId="33FB0820" w14:textId="77777777" w:rsidR="00582312" w:rsidRPr="00582312" w:rsidRDefault="00582312" w:rsidP="00582312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2312">
              <w:rPr>
                <w:rFonts w:asciiTheme="minorHAnsi" w:eastAsia="Times New Roman" w:hAnsiTheme="minorHAnsi" w:cstheme="minorHAnsi"/>
                <w:color w:val="000000"/>
              </w:rPr>
              <w:t>Drug name</w:t>
            </w:r>
          </w:p>
        </w:tc>
        <w:tc>
          <w:tcPr>
            <w:tcW w:w="1344" w:type="dxa"/>
            <w:hideMark/>
          </w:tcPr>
          <w:p w14:paraId="40737F01" w14:textId="77777777" w:rsidR="00582312" w:rsidRPr="00582312" w:rsidRDefault="00582312" w:rsidP="00582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2312">
              <w:rPr>
                <w:rFonts w:asciiTheme="minorHAnsi" w:eastAsia="Times New Roman" w:hAnsiTheme="minorHAnsi" w:cstheme="minorHAnsi"/>
                <w:color w:val="000000"/>
              </w:rPr>
              <w:t>Category</w:t>
            </w:r>
          </w:p>
        </w:tc>
        <w:tc>
          <w:tcPr>
            <w:tcW w:w="1470" w:type="dxa"/>
            <w:hideMark/>
          </w:tcPr>
          <w:p w14:paraId="29DC18DD" w14:textId="77777777" w:rsidR="00582312" w:rsidRPr="00582312" w:rsidRDefault="00582312" w:rsidP="00582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2312">
              <w:rPr>
                <w:rFonts w:asciiTheme="minorHAnsi" w:eastAsia="Times New Roman" w:hAnsiTheme="minorHAnsi" w:cstheme="minorHAnsi"/>
                <w:color w:val="000000"/>
              </w:rPr>
              <w:t>Use</w:t>
            </w:r>
          </w:p>
        </w:tc>
        <w:tc>
          <w:tcPr>
            <w:tcW w:w="1710" w:type="dxa"/>
            <w:hideMark/>
          </w:tcPr>
          <w:p w14:paraId="7BB2A568" w14:textId="77777777" w:rsidR="00582312" w:rsidRPr="00582312" w:rsidRDefault="00582312" w:rsidP="00582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2312">
              <w:rPr>
                <w:rFonts w:asciiTheme="minorHAnsi" w:eastAsia="Times New Roman" w:hAnsiTheme="minorHAnsi" w:cstheme="minorHAnsi"/>
                <w:color w:val="000000"/>
              </w:rPr>
              <w:t>MOA</w:t>
            </w:r>
          </w:p>
        </w:tc>
        <w:tc>
          <w:tcPr>
            <w:tcW w:w="1440" w:type="dxa"/>
            <w:hideMark/>
          </w:tcPr>
          <w:p w14:paraId="0F807FCB" w14:textId="77777777" w:rsidR="00582312" w:rsidRPr="00582312" w:rsidRDefault="00582312" w:rsidP="00582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2312">
              <w:rPr>
                <w:rFonts w:asciiTheme="minorHAnsi" w:eastAsia="Times New Roman" w:hAnsiTheme="minorHAnsi" w:cstheme="minorHAnsi"/>
                <w:color w:val="000000"/>
              </w:rPr>
              <w:t>Dose</w:t>
            </w:r>
          </w:p>
        </w:tc>
        <w:tc>
          <w:tcPr>
            <w:tcW w:w="1530" w:type="dxa"/>
            <w:hideMark/>
          </w:tcPr>
          <w:p w14:paraId="4FB34FB5" w14:textId="77777777" w:rsidR="00582312" w:rsidRPr="00582312" w:rsidRDefault="00582312" w:rsidP="00582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2312">
              <w:rPr>
                <w:rFonts w:asciiTheme="minorHAnsi" w:eastAsia="Times New Roman" w:hAnsiTheme="minorHAnsi" w:cstheme="minorHAnsi"/>
                <w:color w:val="000000"/>
              </w:rPr>
              <w:t>Method of administration</w:t>
            </w:r>
          </w:p>
          <w:p w14:paraId="2D05BF1A" w14:textId="77777777" w:rsidR="00582312" w:rsidRPr="00582312" w:rsidRDefault="00582312" w:rsidP="005823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14:paraId="508114F2" w14:textId="77777777" w:rsidR="00582312" w:rsidRPr="00582312" w:rsidRDefault="00582312" w:rsidP="00582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2312">
              <w:rPr>
                <w:rFonts w:asciiTheme="minorHAnsi" w:eastAsia="Times New Roman" w:hAnsiTheme="minorHAnsi" w:cstheme="minorHAnsi"/>
                <w:color w:val="000000"/>
              </w:rPr>
              <w:t>Side Effects</w:t>
            </w:r>
          </w:p>
        </w:tc>
        <w:tc>
          <w:tcPr>
            <w:tcW w:w="2103" w:type="dxa"/>
            <w:hideMark/>
          </w:tcPr>
          <w:p w14:paraId="030D7337" w14:textId="77777777" w:rsidR="00582312" w:rsidRPr="00582312" w:rsidRDefault="00582312" w:rsidP="00582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2312">
              <w:rPr>
                <w:rFonts w:asciiTheme="minorHAnsi" w:eastAsia="Times New Roman" w:hAnsiTheme="minorHAnsi" w:cstheme="minorHAnsi"/>
                <w:color w:val="000000"/>
              </w:rPr>
              <w:t>Withdrawal times</w:t>
            </w:r>
          </w:p>
        </w:tc>
        <w:tc>
          <w:tcPr>
            <w:tcW w:w="2577" w:type="dxa"/>
            <w:hideMark/>
          </w:tcPr>
          <w:p w14:paraId="3609BCA7" w14:textId="77777777" w:rsidR="00582312" w:rsidRPr="00582312" w:rsidRDefault="00582312" w:rsidP="00582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2312">
              <w:rPr>
                <w:rFonts w:asciiTheme="minorHAnsi" w:eastAsia="Times New Roman" w:hAnsiTheme="minorHAnsi" w:cstheme="minorHAnsi"/>
                <w:color w:val="000000"/>
              </w:rPr>
              <w:t>Precautions</w:t>
            </w:r>
          </w:p>
        </w:tc>
      </w:tr>
      <w:tr w:rsidR="00582312" w:rsidRPr="00582312" w14:paraId="4EC3AA11" w14:textId="77777777" w:rsidTr="000E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7857029D" w14:textId="77777777" w:rsidR="00582312" w:rsidRPr="00582312" w:rsidRDefault="00582312" w:rsidP="0058231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2312">
              <w:rPr>
                <w:rFonts w:asciiTheme="minorHAnsi" w:eastAsia="Times New Roman" w:hAnsiTheme="minorHAnsi" w:cstheme="minorHAnsi"/>
                <w:color w:val="000000"/>
              </w:rPr>
              <w:t>Xylazine 2%</w:t>
            </w:r>
          </w:p>
          <w:p w14:paraId="3D0C418A" w14:textId="6AEA0BA5" w:rsidR="00582312" w:rsidRPr="00582312" w:rsidRDefault="000E7F4E" w:rsidP="00582312">
            <w:pPr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CDA4F7" wp14:editId="23CC7473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380365</wp:posOffset>
                  </wp:positionV>
                  <wp:extent cx="1085850" cy="1828165"/>
                  <wp:effectExtent l="0" t="0" r="0" b="635"/>
                  <wp:wrapTight wrapText="bothSides">
                    <wp:wrapPolygon edited="0">
                      <wp:start x="0" y="0"/>
                      <wp:lineTo x="0" y="21382"/>
                      <wp:lineTo x="21221" y="21382"/>
                      <wp:lineTo x="212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74" t="11377" r="20847" b="8272"/>
                          <a:stretch/>
                        </pic:blipFill>
                        <pic:spPr bwMode="auto">
                          <a:xfrm>
                            <a:off x="0" y="0"/>
                            <a:ext cx="1085850" cy="1828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582312" w:rsidRPr="0058231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344" w:type="dxa"/>
            <w:hideMark/>
          </w:tcPr>
          <w:p w14:paraId="1A3B1264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lastRenderedPageBreak/>
              <w:t>Alpha 2 adrenergic agonist</w:t>
            </w:r>
          </w:p>
        </w:tc>
        <w:tc>
          <w:tcPr>
            <w:tcW w:w="1470" w:type="dxa"/>
            <w:hideMark/>
          </w:tcPr>
          <w:p w14:paraId="673D5633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 xml:space="preserve">Dose </w:t>
            </w:r>
            <w:proofErr w:type="spellStart"/>
            <w:r w:rsidRPr="00582312">
              <w:rPr>
                <w:rFonts w:eastAsia="Times New Roman" w:cstheme="minorHAnsi"/>
                <w:color w:val="000000"/>
              </w:rPr>
              <w:t>dependant</w:t>
            </w:r>
            <w:proofErr w:type="spellEnd"/>
            <w:r w:rsidRPr="00582312">
              <w:rPr>
                <w:rFonts w:eastAsia="Times New Roman" w:cstheme="minorHAnsi"/>
                <w:color w:val="000000"/>
              </w:rPr>
              <w:t xml:space="preserve"> sedation and analgesia</w:t>
            </w:r>
          </w:p>
          <w:p w14:paraId="3720D47E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With muscle relaxant properties</w:t>
            </w:r>
          </w:p>
        </w:tc>
        <w:tc>
          <w:tcPr>
            <w:tcW w:w="1710" w:type="dxa"/>
            <w:hideMark/>
          </w:tcPr>
          <w:p w14:paraId="0184CA2E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Acts through central mediated pathways</w:t>
            </w:r>
          </w:p>
          <w:p w14:paraId="5E4D0978" w14:textId="77777777" w:rsidR="00582312" w:rsidRPr="00582312" w:rsidRDefault="00582312" w:rsidP="005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14:paraId="21B3C5B5" w14:textId="08B47D7C" w:rsidR="000E7F4E" w:rsidRDefault="00582312" w:rsidP="000E7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82312">
              <w:rPr>
                <w:rFonts w:eastAsia="Times New Roman" w:cstheme="minorHAnsi"/>
                <w:color w:val="000000"/>
              </w:rPr>
              <w:t>effects mediated via stimulation of central α2-receptors. decreases release of norepinephrine and dopamine in the (CNS) resulting in sedation, muscle relaxation, and decreased perception of painful stimuli.</w:t>
            </w:r>
          </w:p>
          <w:p w14:paraId="4C713ABA" w14:textId="2EAC43DA" w:rsidR="000E7F4E" w:rsidRPr="00582312" w:rsidRDefault="000E7F4E" w:rsidP="000E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14:paraId="2EE6D9B9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b/>
                <w:bCs/>
                <w:color w:val="000000"/>
              </w:rPr>
              <w:t>Cattle:</w:t>
            </w:r>
            <w:r w:rsidRPr="00582312">
              <w:rPr>
                <w:rFonts w:eastAsia="Times New Roman" w:cstheme="minorHAnsi"/>
                <w:color w:val="000000"/>
              </w:rPr>
              <w:t xml:space="preserve"> 0.05-0.15mg/kg IV; 0.10-0.33 mg/kg IM</w:t>
            </w:r>
          </w:p>
          <w:p w14:paraId="693B541D" w14:textId="77777777" w:rsidR="00582312" w:rsidRPr="00582312" w:rsidRDefault="00582312" w:rsidP="005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14:paraId="2416C86F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82312">
              <w:rPr>
                <w:rFonts w:eastAsia="Times New Roman" w:cstheme="minorHAnsi"/>
                <w:b/>
                <w:bCs/>
                <w:color w:val="000000"/>
              </w:rPr>
              <w:t>Horses: </w:t>
            </w:r>
          </w:p>
          <w:p w14:paraId="19141362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1.1mg/kg IV;2.2mg/kg IM</w:t>
            </w:r>
          </w:p>
          <w:p w14:paraId="32384DE6" w14:textId="77777777" w:rsidR="00582312" w:rsidRPr="00582312" w:rsidRDefault="00582312" w:rsidP="005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14:paraId="35114C58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82312">
              <w:rPr>
                <w:rFonts w:eastAsia="Times New Roman" w:cstheme="minorHAnsi"/>
                <w:b/>
                <w:bCs/>
                <w:color w:val="000000"/>
              </w:rPr>
              <w:t>Sheep and goats: </w:t>
            </w:r>
          </w:p>
          <w:p w14:paraId="73AA92FF" w14:textId="77777777" w:rsidR="00582312" w:rsidRPr="00582312" w:rsidRDefault="00582312" w:rsidP="005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14:paraId="71D64854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0.05-0.1mg/kg IV</w:t>
            </w:r>
          </w:p>
          <w:p w14:paraId="44A1BCEB" w14:textId="77777777" w:rsidR="00582312" w:rsidRPr="00582312" w:rsidRDefault="00582312" w:rsidP="005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14:paraId="0BD96DB3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0.1-0.22mg/kg IM</w:t>
            </w:r>
          </w:p>
        </w:tc>
        <w:tc>
          <w:tcPr>
            <w:tcW w:w="1530" w:type="dxa"/>
            <w:hideMark/>
          </w:tcPr>
          <w:p w14:paraId="2F5215D7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IV/IM</w:t>
            </w:r>
          </w:p>
        </w:tc>
        <w:tc>
          <w:tcPr>
            <w:tcW w:w="1710" w:type="dxa"/>
            <w:hideMark/>
          </w:tcPr>
          <w:p w14:paraId="7B1C9A37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Muscle tremors, bradycardia with partial AV block, reduced respiratory rate</w:t>
            </w:r>
          </w:p>
          <w:p w14:paraId="13552A44" w14:textId="77777777" w:rsidR="00582312" w:rsidRPr="00582312" w:rsidRDefault="00582312" w:rsidP="005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14:paraId="454336F6" w14:textId="6E2F4D16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 xml:space="preserve">In cattle see salivation, ruminal atony, hypothermia, regurgitation, bradycardia, </w:t>
            </w:r>
            <w:r w:rsidRPr="00582312">
              <w:rPr>
                <w:rFonts w:eastAsia="Times New Roman" w:cstheme="minorHAnsi"/>
                <w:color w:val="000000"/>
              </w:rPr>
              <w:t>diarrhea</w:t>
            </w:r>
            <w:r w:rsidRPr="00582312">
              <w:rPr>
                <w:rFonts w:eastAsia="Times New Roman" w:cstheme="minorHAnsi"/>
                <w:color w:val="000000"/>
              </w:rPr>
              <w:t>, premature parturition, ataxia</w:t>
            </w:r>
          </w:p>
          <w:p w14:paraId="3EA0676A" w14:textId="77777777" w:rsidR="00582312" w:rsidRPr="00582312" w:rsidRDefault="00582312" w:rsidP="0058231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sz w:val="24"/>
                <w:szCs w:val="24"/>
              </w:rPr>
              <w:br/>
            </w:r>
            <w:r w:rsidRPr="00582312">
              <w:rPr>
                <w:rFonts w:eastAsia="Times New Roman" w:cstheme="minorHAnsi"/>
                <w:sz w:val="24"/>
                <w:szCs w:val="24"/>
              </w:rPr>
              <w:br/>
            </w:r>
            <w:r w:rsidRPr="00582312">
              <w:rPr>
                <w:rFonts w:eastAsia="Times New Roman" w:cstheme="minorHAnsi"/>
                <w:sz w:val="24"/>
                <w:szCs w:val="24"/>
              </w:rPr>
              <w:br/>
            </w:r>
            <w:r w:rsidRPr="00582312">
              <w:rPr>
                <w:rFonts w:eastAsia="Times New Roman" w:cstheme="minorHAnsi"/>
                <w:sz w:val="24"/>
                <w:szCs w:val="24"/>
              </w:rPr>
              <w:br/>
            </w:r>
            <w:r w:rsidRPr="00582312">
              <w:rPr>
                <w:rFonts w:eastAsia="Times New Roman" w:cstheme="minorHAnsi"/>
                <w:sz w:val="24"/>
                <w:szCs w:val="24"/>
              </w:rPr>
              <w:br/>
            </w:r>
            <w:r w:rsidRPr="00582312">
              <w:rPr>
                <w:rFonts w:eastAsia="Times New Roman" w:cstheme="minorHAnsi"/>
                <w:sz w:val="24"/>
                <w:szCs w:val="24"/>
              </w:rPr>
              <w:br/>
            </w:r>
            <w:r w:rsidRPr="00582312">
              <w:rPr>
                <w:rFonts w:eastAsia="Times New Roman" w:cstheme="minorHAnsi"/>
                <w:sz w:val="24"/>
                <w:szCs w:val="24"/>
              </w:rPr>
              <w:br/>
            </w:r>
            <w:r w:rsidRPr="00582312">
              <w:rPr>
                <w:rFonts w:eastAsia="Times New Roman" w:cstheme="minorHAnsi"/>
                <w:sz w:val="24"/>
                <w:szCs w:val="24"/>
              </w:rPr>
              <w:br/>
            </w:r>
            <w:r w:rsidRPr="00582312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2103" w:type="dxa"/>
            <w:hideMark/>
          </w:tcPr>
          <w:p w14:paraId="2AAC2480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Zero hours withdrawal for milk, meat and o</w:t>
            </w:r>
            <w:bookmarkStart w:id="0" w:name="_GoBack"/>
            <w:bookmarkEnd w:id="0"/>
            <w:r w:rsidRPr="00582312">
              <w:rPr>
                <w:rFonts w:eastAsia="Times New Roman" w:cstheme="minorHAnsi"/>
                <w:color w:val="000000"/>
              </w:rPr>
              <w:t>ffal</w:t>
            </w:r>
          </w:p>
        </w:tc>
        <w:tc>
          <w:tcPr>
            <w:tcW w:w="2577" w:type="dxa"/>
            <w:hideMark/>
          </w:tcPr>
          <w:p w14:paraId="290117EC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Cattle extremely sensitive to xylazine’s adverse effects </w:t>
            </w:r>
          </w:p>
          <w:p w14:paraId="29FF6EE9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Pretreatment with atropine can decrease bradycardia and hypersalivation</w:t>
            </w:r>
          </w:p>
          <w:p w14:paraId="474EA0A2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>Use xylazine with extreme caution in sheep and goats</w:t>
            </w:r>
          </w:p>
          <w:p w14:paraId="2E754556" w14:textId="77777777" w:rsidR="00582312" w:rsidRPr="00582312" w:rsidRDefault="00582312" w:rsidP="005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14:paraId="63F1CFF4" w14:textId="77777777" w:rsidR="00582312" w:rsidRPr="00582312" w:rsidRDefault="00582312" w:rsidP="0058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82312">
              <w:rPr>
                <w:rFonts w:eastAsia="Times New Roman" w:cstheme="minorHAnsi"/>
                <w:color w:val="000000"/>
              </w:rPr>
              <w:t xml:space="preserve">Reversal- Yohimbine, atipamezole, </w:t>
            </w:r>
            <w:proofErr w:type="spellStart"/>
            <w:r w:rsidRPr="00582312">
              <w:rPr>
                <w:rFonts w:eastAsia="Times New Roman" w:cstheme="minorHAnsi"/>
                <w:color w:val="000000"/>
              </w:rPr>
              <w:t>tolazine</w:t>
            </w:r>
            <w:proofErr w:type="spellEnd"/>
          </w:p>
        </w:tc>
      </w:tr>
    </w:tbl>
    <w:p w14:paraId="50BD1B92" w14:textId="77777777" w:rsidR="00582312" w:rsidRPr="00582312" w:rsidRDefault="00582312" w:rsidP="0058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7AD7F" w14:textId="77777777" w:rsidR="00582312" w:rsidRDefault="00582312"/>
    <w:sectPr w:rsidR="00582312" w:rsidSect="005823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12"/>
    <w:rsid w:val="000E7F4E"/>
    <w:rsid w:val="005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2825"/>
  <w15:chartTrackingRefBased/>
  <w15:docId w15:val="{6A1F62DE-2D76-404A-A8A2-C398D2CD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0E7F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882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1</cp:revision>
  <dcterms:created xsi:type="dcterms:W3CDTF">2019-09-07T16:37:00Z</dcterms:created>
  <dcterms:modified xsi:type="dcterms:W3CDTF">2019-09-07T16:54:00Z</dcterms:modified>
</cp:coreProperties>
</file>