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53C0F" w:rsidRPr="002160A1" w:rsidRDefault="00153C0F" w:rsidP="002160A1">
      <w:pPr>
        <w:pStyle w:val="ListParagraph"/>
        <w:numPr>
          <w:ilvl w:val="0"/>
          <w:numId w:val="7"/>
        </w:numPr>
        <w:spacing w:before="100" w:beforeAutospacing="1" w:after="100" w:afterAutospacing="1" w:line="240" w:lineRule="auto"/>
        <w:rPr>
          <w:rFonts w:eastAsia="Times New Roman" w:cstheme="minorHAnsi"/>
          <w:color w:val="000000"/>
          <w:lang w:eastAsia="en-TT"/>
        </w:rPr>
      </w:pPr>
      <w:r w:rsidRPr="002160A1">
        <w:rPr>
          <w:rFonts w:eastAsia="Times New Roman" w:cstheme="minorHAnsi"/>
          <w:color w:val="000000"/>
          <w:lang w:eastAsia="en-TT"/>
        </w:rPr>
        <w:t xml:space="preserve">Auriculopalpebral Block </w:t>
      </w:r>
    </w:p>
    <w:p w:rsidR="00153C0F" w:rsidRDefault="00153C0F" w:rsidP="00153C0F">
      <w:pPr>
        <w:spacing w:before="100" w:beforeAutospacing="1" w:after="100" w:afterAutospacing="1" w:line="240" w:lineRule="auto"/>
        <w:rPr>
          <w:rFonts w:eastAsia="Times New Roman" w:cstheme="minorHAnsi"/>
          <w:color w:val="000000"/>
          <w:lang w:eastAsia="en-TT"/>
        </w:rPr>
      </w:pPr>
      <w:r>
        <w:rPr>
          <w:rFonts w:eastAsia="Times New Roman" w:cstheme="minorHAnsi"/>
          <w:color w:val="000000"/>
          <w:lang w:eastAsia="en-TT"/>
        </w:rPr>
        <w:t>What is it?</w:t>
      </w:r>
    </w:p>
    <w:p w:rsidR="00153C0F" w:rsidRDefault="00153C0F" w:rsidP="00153C0F">
      <w:pPr>
        <w:spacing w:before="100" w:beforeAutospacing="1" w:after="100" w:afterAutospacing="1" w:line="240" w:lineRule="auto"/>
      </w:pPr>
      <w:r>
        <w:rPr>
          <w:rFonts w:cstheme="minorHAnsi"/>
          <w:color w:val="252525"/>
          <w:shd w:val="clear" w:color="auto" w:fill="FFFFFF"/>
        </w:rPr>
        <w:t xml:space="preserve">This block can be used to prevent the eyelids from moving during clinical examination or surgery. </w:t>
      </w:r>
      <w:r>
        <w:rPr>
          <w:rFonts w:eastAsia="Times New Roman" w:cstheme="minorHAnsi"/>
          <w:color w:val="000000"/>
          <w:lang w:eastAsia="en-TT"/>
        </w:rPr>
        <w:t>The A</w:t>
      </w:r>
      <w:r>
        <w:t xml:space="preserve">uriculopalpebral nerve supplies motor </w:t>
      </w:r>
      <w:proofErr w:type="spellStart"/>
      <w:r>
        <w:t>fiber</w:t>
      </w:r>
      <w:proofErr w:type="spellEnd"/>
      <w:r>
        <w:t xml:space="preserve"> to the orbicularis oculi muscle.  It runs from the base of the ear along the facial crest, past and ventral of the eye, giving off its branches on the way. </w:t>
      </w:r>
    </w:p>
    <w:p w:rsidR="00153C0F" w:rsidRDefault="00153C0F" w:rsidP="00153C0F">
      <w:pPr>
        <w:spacing w:before="100" w:beforeAutospacing="1" w:after="100" w:afterAutospacing="1" w:line="240" w:lineRule="auto"/>
        <w:ind w:left="360"/>
      </w:pPr>
      <w:r>
        <w:t>Indications: It is used to keep the eye open, for example, as an adjunct in ophthalmic surgery and serves as one of the most commonly used techniques to block the motor function of the upper eye lid for ophthalmic surgery and to prevent eyelid closure during examination of the eyeball.</w:t>
      </w:r>
    </w:p>
    <w:p w:rsidR="00153C0F" w:rsidRDefault="00153C0F" w:rsidP="00153C0F">
      <w:pPr>
        <w:spacing w:before="100" w:beforeAutospacing="1" w:after="100" w:afterAutospacing="1" w:line="240" w:lineRule="auto"/>
      </w:pPr>
    </w:p>
    <w:p w:rsidR="00153C0F" w:rsidRDefault="00153C0F" w:rsidP="00153C0F">
      <w:pPr>
        <w:spacing w:before="100" w:beforeAutospacing="1" w:after="100" w:afterAutospacing="1" w:line="240" w:lineRule="auto"/>
      </w:pPr>
      <w:r>
        <w:t xml:space="preserve">Method: </w:t>
      </w:r>
    </w:p>
    <w:p w:rsidR="00153C0F" w:rsidRDefault="00153C0F" w:rsidP="00153C0F">
      <w:pPr>
        <w:pStyle w:val="ListParagraph"/>
        <w:numPr>
          <w:ilvl w:val="0"/>
          <w:numId w:val="6"/>
        </w:numPr>
        <w:spacing w:before="100" w:beforeAutospacing="1" w:after="100" w:afterAutospacing="1" w:line="240" w:lineRule="auto"/>
      </w:pPr>
      <w:r>
        <w:t xml:space="preserve">The needle is inserted in front of the base of the ear at the end of the zygomatic arch and is introduced until its point lies at the dorsal border of the arch. </w:t>
      </w:r>
    </w:p>
    <w:p w:rsidR="00153C0F" w:rsidRDefault="00153C0F" w:rsidP="00153C0F">
      <w:pPr>
        <w:pStyle w:val="ListParagraph"/>
        <w:numPr>
          <w:ilvl w:val="0"/>
          <w:numId w:val="6"/>
        </w:numPr>
        <w:spacing w:before="100" w:beforeAutospacing="1" w:after="100" w:afterAutospacing="1" w:line="240" w:lineRule="auto"/>
      </w:pPr>
      <w:r>
        <w:t xml:space="preserve">2% lidocaine 10-15 ml is administrated at injection site. </w:t>
      </w:r>
    </w:p>
    <w:p w:rsidR="00153C0F" w:rsidRDefault="00153C0F" w:rsidP="00153C0F">
      <w:pPr>
        <w:pStyle w:val="ListParagraph"/>
        <w:numPr>
          <w:ilvl w:val="0"/>
          <w:numId w:val="6"/>
        </w:numPr>
        <w:spacing w:before="100" w:beforeAutospacing="1" w:after="100" w:afterAutospacing="1" w:line="240" w:lineRule="auto"/>
      </w:pPr>
      <w:r>
        <w:t xml:space="preserve">Onset of analgesia occurs 10-15 minutes and duration of analgesia is approximately one hour. </w:t>
      </w:r>
    </w:p>
    <w:p w:rsidR="00153C0F" w:rsidRDefault="00153C0F" w:rsidP="00153C0F">
      <w:pPr>
        <w:pStyle w:val="ListParagraph"/>
        <w:numPr>
          <w:ilvl w:val="0"/>
          <w:numId w:val="6"/>
        </w:numPr>
        <w:spacing w:before="100" w:beforeAutospacing="1" w:after="100" w:afterAutospacing="1" w:line="240" w:lineRule="auto"/>
      </w:pPr>
      <w:r>
        <w:t xml:space="preserve">This block does not produce analgesia of the eye or the lids. In conjunction with topical analgesia (2% lidocaine), it is useful for the removal of foreign bodies from the cornea and conjunctival sac. </w:t>
      </w:r>
    </w:p>
    <w:p w:rsidR="00153C0F" w:rsidRDefault="00153C0F" w:rsidP="00153C0F">
      <w:pPr>
        <w:pStyle w:val="ListParagraph"/>
        <w:numPr>
          <w:ilvl w:val="0"/>
          <w:numId w:val="6"/>
        </w:numPr>
        <w:spacing w:before="100" w:beforeAutospacing="1" w:after="100" w:afterAutospacing="1" w:line="240" w:lineRule="auto"/>
      </w:pPr>
      <w:r>
        <w:t xml:space="preserve">This block has no sensory effects but paralyses the muscles of the eyelid. </w:t>
      </w:r>
    </w:p>
    <w:p w:rsidR="00153C0F" w:rsidRDefault="00153C0F" w:rsidP="00153C0F">
      <w:pPr>
        <w:spacing w:before="100" w:beforeAutospacing="1" w:after="100" w:afterAutospacing="1" w:line="240" w:lineRule="auto"/>
      </w:pPr>
    </w:p>
    <w:p w:rsidR="00153C0F" w:rsidRDefault="00153C0F" w:rsidP="00153C0F">
      <w:pPr>
        <w:spacing w:before="100" w:beforeAutospacing="1" w:after="100" w:afterAutospacing="1" w:line="240" w:lineRule="auto"/>
        <w:rPr>
          <w:i/>
        </w:rPr>
      </w:pPr>
      <w:r>
        <w:rPr>
          <w:noProof/>
        </w:rPr>
        <w:lastRenderedPageBreak/>
        <w:drawing>
          <wp:inline distT="0" distB="0" distL="0" distR="0">
            <wp:extent cx="3163570" cy="3969385"/>
            <wp:effectExtent l="0" t="0" r="0" b="0"/>
            <wp:docPr id="2" name="Picture 2" descr="41C316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41C316D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63570" cy="3969385"/>
                    </a:xfrm>
                    <a:prstGeom prst="rect">
                      <a:avLst/>
                    </a:prstGeom>
                    <a:noFill/>
                    <a:ln>
                      <a:noFill/>
                    </a:ln>
                  </pic:spPr>
                </pic:pic>
              </a:graphicData>
            </a:graphic>
          </wp:inline>
        </w:drawing>
      </w:r>
      <w:r>
        <w:rPr>
          <w:i/>
        </w:rPr>
        <w:t xml:space="preserve"> - picture showing location of the Auriculopalpebral nerve block (B) and Cornual nerve block (D)</w:t>
      </w:r>
    </w:p>
    <w:p w:rsidR="002160A1" w:rsidRDefault="002160A1" w:rsidP="000A00F0"/>
    <w:p w:rsidR="002160A1" w:rsidRDefault="002160A1" w:rsidP="002160A1">
      <w:pPr>
        <w:pStyle w:val="ListParagraph"/>
        <w:numPr>
          <w:ilvl w:val="0"/>
          <w:numId w:val="7"/>
        </w:numPr>
      </w:pPr>
      <w:r w:rsidRPr="002160A1">
        <w:t>Peterson Nerve Block</w:t>
      </w:r>
    </w:p>
    <w:p w:rsidR="0093491F" w:rsidRDefault="0093491F" w:rsidP="0093491F">
      <w:r>
        <w:t>Nerves blocked: mandible branch of cranial nerve V</w:t>
      </w:r>
      <w:r w:rsidR="00751694">
        <w:t>. maxillary branch of V supplying to the lower eyelid, ophthalmic branch of V supplying to upper eyelid, 3</w:t>
      </w:r>
      <w:r w:rsidR="00751694" w:rsidRPr="00751694">
        <w:rPr>
          <w:vertAlign w:val="superscript"/>
        </w:rPr>
        <w:t>rd</w:t>
      </w:r>
      <w:r w:rsidR="00751694">
        <w:t xml:space="preserve"> eyelid, median canthus and eyeball and oculomotor, trochlear and abducens nerves providing the motor supply to the ocular muscles.</w:t>
      </w:r>
    </w:p>
    <w:p w:rsidR="0093491F" w:rsidRPr="002160A1" w:rsidRDefault="0093491F" w:rsidP="0093491F">
      <w:r>
        <w:t xml:space="preserve">Site of injection: </w:t>
      </w:r>
      <w:r w:rsidRPr="0093491F">
        <w:t>Site of injection: The point of injection is the notches formed by the supraorbital process</w:t>
      </w:r>
      <w:r>
        <w:t xml:space="preserve"> </w:t>
      </w:r>
      <w:r w:rsidRPr="0093491F">
        <w:t>cranially, the zygomatic arch ventrally, and the coronoid process of the mandible caudally.</w:t>
      </w:r>
      <w:r>
        <w:t xml:space="preserve"> </w:t>
      </w:r>
      <w:r w:rsidRPr="0093491F">
        <w:t>Approximately 15 ml of 2% lidocaine is injected</w:t>
      </w:r>
    </w:p>
    <w:p w:rsidR="002160A1" w:rsidRDefault="002160A1" w:rsidP="002160A1">
      <w:r>
        <w:t xml:space="preserve">Method: </w:t>
      </w:r>
      <w:r w:rsidRPr="002160A1">
        <w:t xml:space="preserve">After performing a small local skin block over the intended site of puncture, a 3.8-cm long, 14-gauge needle is inserted through the skin as a cannula for introduction of an 18-gauge, 9-cm long needle for the nerve block. The cannula is inserted caudal to the junction of the supraorbital process and zygomatic arch and is introduced through the skin. Then, the 18-gauge, 9-cm long needle is introduced through the cannula needle and is directed in a horizontal and slightly dorsal direction until the coronoid process is encountered. The needle is “walked off” the rostral aspect of the coronoid process and advanced in a ventromedial direction along the caudal aspect of the orbit until the needle encounters the bony plate encasing the foramen </w:t>
      </w:r>
      <w:proofErr w:type="spellStart"/>
      <w:r w:rsidRPr="002160A1">
        <w:t>orbitorotundum</w:t>
      </w:r>
      <w:proofErr w:type="spellEnd"/>
      <w:r w:rsidRPr="002160A1">
        <w:t xml:space="preserve">. Once the needle is advanced to the foramen, it is advised that the needle be drawn back a few </w:t>
      </w:r>
      <w:proofErr w:type="spellStart"/>
      <w:r w:rsidRPr="002160A1">
        <w:t>millimeters</w:t>
      </w:r>
      <w:proofErr w:type="spellEnd"/>
      <w:r w:rsidRPr="002160A1">
        <w:t xml:space="preserve"> to reduce the risk of intrameningeal injection. After aspirating to assure the needle is not in the internal maxillary artery, 10 mL to 15 mL of lidocaine (2%) is deposited, with an additional 5 mL of lidocaine deposited as the needle is slowly withdrawn. Mydriasis indicates a successful block</w:t>
      </w:r>
    </w:p>
    <w:p w:rsidR="002160A1" w:rsidRDefault="002160A1" w:rsidP="002160A1">
      <w:r>
        <w:t xml:space="preserve">Indication: Enucleation of eyeball and eyelid </w:t>
      </w:r>
    </w:p>
    <w:p w:rsidR="0093491F" w:rsidRDefault="0093491F" w:rsidP="002160A1"/>
    <w:p w:rsidR="002160A1" w:rsidRDefault="002160A1" w:rsidP="002160A1">
      <w:pPr>
        <w:rPr>
          <w:noProof/>
        </w:rPr>
      </w:pPr>
      <w:r>
        <w:rPr>
          <w:noProof/>
        </w:rPr>
        <w:drawing>
          <wp:inline distT="0" distB="0" distL="0" distR="0">
            <wp:extent cx="2676171" cy="2038350"/>
            <wp:effectExtent l="0" t="0" r="0" b="0"/>
            <wp:docPr id="3" name="Picture 3"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lated 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84714" cy="2044857"/>
                    </a:xfrm>
                    <a:prstGeom prst="rect">
                      <a:avLst/>
                    </a:prstGeom>
                    <a:noFill/>
                    <a:ln>
                      <a:noFill/>
                    </a:ln>
                  </pic:spPr>
                </pic:pic>
              </a:graphicData>
            </a:graphic>
          </wp:inline>
        </w:drawing>
      </w:r>
      <w:r w:rsidR="0093491F">
        <w:rPr>
          <w:noProof/>
        </w:rPr>
        <w:t xml:space="preserve">   </w:t>
      </w:r>
      <w:r w:rsidR="0093491F">
        <w:rPr>
          <w:noProof/>
        </w:rPr>
        <w:drawing>
          <wp:inline distT="0" distB="0" distL="0" distR="0" wp14:anchorId="7D4BDF9D" wp14:editId="62CE8F2E">
            <wp:extent cx="2705100" cy="3197439"/>
            <wp:effectExtent l="0" t="0" r="0" b="3175"/>
            <wp:docPr id="4" name="Picture 4" descr="Image result for peterson nerve block c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peterson nerve block cow"/>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05100" cy="3197439"/>
                    </a:xfrm>
                    <a:prstGeom prst="rect">
                      <a:avLst/>
                    </a:prstGeom>
                    <a:noFill/>
                    <a:ln>
                      <a:noFill/>
                    </a:ln>
                  </pic:spPr>
                </pic:pic>
              </a:graphicData>
            </a:graphic>
          </wp:inline>
        </w:drawing>
      </w:r>
    </w:p>
    <w:p w:rsidR="0093491F" w:rsidRDefault="0093491F" w:rsidP="002160A1">
      <w:pPr>
        <w:rPr>
          <w:noProof/>
        </w:rPr>
      </w:pPr>
      <w:r>
        <w:rPr>
          <w:noProof/>
        </w:rPr>
        <w:drawing>
          <wp:inline distT="0" distB="0" distL="0" distR="0">
            <wp:extent cx="5731510" cy="3311525"/>
            <wp:effectExtent l="0" t="0" r="2540" b="3175"/>
            <wp:docPr id="5" name="Picture 5" descr="http://www.onlineveterinaryanatomy.net/sites/default/files/original_media/image/asset_9377_petersonblo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onlineveterinaryanatomy.net/sites/default/files/original_media/image/asset_9377_petersonblock.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31510" cy="3311525"/>
                    </a:xfrm>
                    <a:prstGeom prst="rect">
                      <a:avLst/>
                    </a:prstGeom>
                    <a:noFill/>
                    <a:ln>
                      <a:noFill/>
                    </a:ln>
                  </pic:spPr>
                </pic:pic>
              </a:graphicData>
            </a:graphic>
          </wp:inline>
        </w:drawing>
      </w:r>
    </w:p>
    <w:p w:rsidR="0093491F" w:rsidRPr="0093491F" w:rsidRDefault="0093491F" w:rsidP="002160A1">
      <w:pPr>
        <w:rPr>
          <w:i/>
        </w:rPr>
      </w:pPr>
      <w:r>
        <w:rPr>
          <w:i/>
        </w:rPr>
        <w:t>Anatomical landmarks for the Peterson’s nerve block.</w:t>
      </w:r>
    </w:p>
    <w:p w:rsidR="002160A1" w:rsidRPr="002160A1" w:rsidRDefault="002160A1" w:rsidP="002160A1"/>
    <w:p w:rsidR="002160A1" w:rsidRPr="002160A1" w:rsidRDefault="002160A1" w:rsidP="002160A1">
      <w:pPr>
        <w:pStyle w:val="ListParagraph"/>
        <w:numPr>
          <w:ilvl w:val="0"/>
          <w:numId w:val="7"/>
        </w:numPr>
      </w:pPr>
      <w:r w:rsidRPr="002160A1">
        <w:t>4-Point Retrobulbar Nerve Block</w:t>
      </w:r>
    </w:p>
    <w:p w:rsidR="002160A1" w:rsidRDefault="00751694" w:rsidP="00751694">
      <w:r>
        <w:t xml:space="preserve">Method: </w:t>
      </w:r>
      <w:r w:rsidR="002160A1" w:rsidRPr="002160A1">
        <w:t xml:space="preserve">The 4-point retrobulbar block is technically easier and can be done more rapidly as compared with the Peterson eye block. In this technique, an 18-gauge, 9-cm long needle is introduced through the skin on the dorsal, lateral, ventral and medial aspects of the eye, at 12-, 3-, 6-, and 9-o'clock positions, respectively. Introduction of the needle through the conjunctiva should be avoided to reduce the occurrence of ocular contamination. The needle is directed behind the </w:t>
      </w:r>
      <w:r w:rsidR="002160A1" w:rsidRPr="002160A1">
        <w:lastRenderedPageBreak/>
        <w:t>globe using the bony orbit as a guide. When the needle is introduced into retrobulbar sheath, the eye will move slightly with the tug of the needle. After this location is reached and aspiration is performed to assure that the needle is not in a vessel, 5 mL to 10 mL of lidocaine (2%) is deposited at each site. Mydriasis indicates a successful block.</w:t>
      </w:r>
    </w:p>
    <w:p w:rsidR="00751694" w:rsidRDefault="00751694" w:rsidP="00751694"/>
    <w:p w:rsidR="00751694" w:rsidRDefault="00751694" w:rsidP="00751694">
      <w:r>
        <w:rPr>
          <w:noProof/>
        </w:rPr>
        <w:drawing>
          <wp:inline distT="0" distB="0" distL="0" distR="0">
            <wp:extent cx="5731510" cy="2795270"/>
            <wp:effectExtent l="0" t="0" r="2540" b="5080"/>
            <wp:docPr id="6" name="Picture 6" descr="Image result for 4 point retrobulbar block cat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result for 4 point retrobulbar block cattl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31510" cy="2795270"/>
                    </a:xfrm>
                    <a:prstGeom prst="rect">
                      <a:avLst/>
                    </a:prstGeom>
                    <a:noFill/>
                    <a:ln>
                      <a:noFill/>
                    </a:ln>
                  </pic:spPr>
                </pic:pic>
              </a:graphicData>
            </a:graphic>
          </wp:inline>
        </w:drawing>
      </w:r>
    </w:p>
    <w:p w:rsidR="00751694" w:rsidRPr="00751694" w:rsidRDefault="00751694" w:rsidP="00751694">
      <w:pPr>
        <w:rPr>
          <w:b/>
          <w:i/>
        </w:rPr>
      </w:pPr>
      <w:r>
        <w:rPr>
          <w:b/>
          <w:i/>
        </w:rPr>
        <w:t>Location of retrobulbar (four-point) block</w:t>
      </w:r>
      <w:bookmarkStart w:id="0" w:name="_GoBack"/>
      <w:bookmarkEnd w:id="0"/>
    </w:p>
    <w:p w:rsidR="00751694" w:rsidRDefault="00751694" w:rsidP="00751694"/>
    <w:p w:rsidR="000A00F0" w:rsidRDefault="00751694" w:rsidP="00751694">
      <w:r>
        <w:t>*Alternative method: T</w:t>
      </w:r>
      <w:r w:rsidR="002160A1" w:rsidRPr="002160A1">
        <w:t>he single retrobulbar block</w:t>
      </w:r>
      <w:r>
        <w:t>; i</w:t>
      </w:r>
      <w:r w:rsidR="002160A1" w:rsidRPr="002160A1">
        <w:t xml:space="preserve">n this technique, the 9-cm long 18-gauge needle is bent into a half circle. The needle is inserted immediately ventral to the dorsal orbital rim and directed such that the needle impacts into the bone of the orbit. Then the needle is advanced as it is rotated ventrally in a progressive manner, such that the needle remains </w:t>
      </w:r>
      <w:proofErr w:type="gramStart"/>
      <w:r w:rsidR="002160A1" w:rsidRPr="002160A1">
        <w:t>in close proximity to</w:t>
      </w:r>
      <w:proofErr w:type="gramEnd"/>
      <w:r w:rsidR="002160A1" w:rsidRPr="002160A1">
        <w:t xml:space="preserve"> the bone. After the needle is inserted to the caudal aspect of the eye, 20 mL of 2% lidocaine HCl is administered after aspiration to ensure that the needle is not positioned in a vessel or other fluid structure. Successful deposition of lidocaine causes mild proptosis of the globe.</w:t>
      </w:r>
    </w:p>
    <w:p w:rsidR="00751694" w:rsidRDefault="00751694" w:rsidP="00751694">
      <w:r>
        <w:rPr>
          <w:noProof/>
        </w:rPr>
        <w:drawing>
          <wp:inline distT="0" distB="0" distL="0" distR="0" wp14:anchorId="0D71C845" wp14:editId="012B4296">
            <wp:extent cx="5731510" cy="2352040"/>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31510" cy="2352040"/>
                    </a:xfrm>
                    <a:prstGeom prst="rect">
                      <a:avLst/>
                    </a:prstGeom>
                  </pic:spPr>
                </pic:pic>
              </a:graphicData>
            </a:graphic>
          </wp:inline>
        </w:drawing>
      </w:r>
    </w:p>
    <w:p w:rsidR="002160A1" w:rsidRDefault="002160A1" w:rsidP="002160A1"/>
    <w:p w:rsidR="002160A1" w:rsidRPr="002160A1" w:rsidRDefault="002160A1" w:rsidP="002160A1">
      <w:r w:rsidRPr="002160A1">
        <w:lastRenderedPageBreak/>
        <w:t>Ring Block</w:t>
      </w:r>
    </w:p>
    <w:p w:rsidR="002160A1" w:rsidRPr="002160A1" w:rsidRDefault="002160A1" w:rsidP="002160A1">
      <w:r w:rsidRPr="002160A1">
        <w:t xml:space="preserve">Additional local </w:t>
      </w:r>
      <w:proofErr w:type="spellStart"/>
      <w:r w:rsidRPr="002160A1">
        <w:t>anesthesia</w:t>
      </w:r>
      <w:proofErr w:type="spellEnd"/>
      <w:r w:rsidRPr="002160A1">
        <w:t xml:space="preserve"> of the eyelids is recommended as the Peterson and retrobulbar blocks typically result in incomplete analgesia of the eyelids. Five to 10 mL lidocaine (2%) is infiltrated subcutaneously 2.5 cm from the eyelid margins as a ring block.</w:t>
      </w:r>
    </w:p>
    <w:p w:rsidR="002160A1" w:rsidRDefault="002160A1" w:rsidP="002160A1"/>
    <w:sectPr w:rsidR="002160A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9F78FF"/>
    <w:multiLevelType w:val="hybridMultilevel"/>
    <w:tmpl w:val="60A0613C"/>
    <w:lvl w:ilvl="0" w:tplc="2C090001">
      <w:start w:val="1"/>
      <w:numFmt w:val="bullet"/>
      <w:lvlText w:val=""/>
      <w:lvlJc w:val="left"/>
      <w:pPr>
        <w:ind w:left="720" w:hanging="360"/>
      </w:pPr>
      <w:rPr>
        <w:rFonts w:ascii="Symbol" w:hAnsi="Symbol" w:hint="default"/>
      </w:rPr>
    </w:lvl>
    <w:lvl w:ilvl="1" w:tplc="2C090003" w:tentative="1">
      <w:start w:val="1"/>
      <w:numFmt w:val="bullet"/>
      <w:lvlText w:val="o"/>
      <w:lvlJc w:val="left"/>
      <w:pPr>
        <w:ind w:left="1440" w:hanging="360"/>
      </w:pPr>
      <w:rPr>
        <w:rFonts w:ascii="Courier New" w:hAnsi="Courier New" w:cs="Courier New" w:hint="default"/>
      </w:rPr>
    </w:lvl>
    <w:lvl w:ilvl="2" w:tplc="2C090005" w:tentative="1">
      <w:start w:val="1"/>
      <w:numFmt w:val="bullet"/>
      <w:lvlText w:val=""/>
      <w:lvlJc w:val="left"/>
      <w:pPr>
        <w:ind w:left="2160" w:hanging="360"/>
      </w:pPr>
      <w:rPr>
        <w:rFonts w:ascii="Wingdings" w:hAnsi="Wingdings" w:hint="default"/>
      </w:rPr>
    </w:lvl>
    <w:lvl w:ilvl="3" w:tplc="2C090001" w:tentative="1">
      <w:start w:val="1"/>
      <w:numFmt w:val="bullet"/>
      <w:lvlText w:val=""/>
      <w:lvlJc w:val="left"/>
      <w:pPr>
        <w:ind w:left="2880" w:hanging="360"/>
      </w:pPr>
      <w:rPr>
        <w:rFonts w:ascii="Symbol" w:hAnsi="Symbol" w:hint="default"/>
      </w:rPr>
    </w:lvl>
    <w:lvl w:ilvl="4" w:tplc="2C090003" w:tentative="1">
      <w:start w:val="1"/>
      <w:numFmt w:val="bullet"/>
      <w:lvlText w:val="o"/>
      <w:lvlJc w:val="left"/>
      <w:pPr>
        <w:ind w:left="3600" w:hanging="360"/>
      </w:pPr>
      <w:rPr>
        <w:rFonts w:ascii="Courier New" w:hAnsi="Courier New" w:cs="Courier New" w:hint="default"/>
      </w:rPr>
    </w:lvl>
    <w:lvl w:ilvl="5" w:tplc="2C090005" w:tentative="1">
      <w:start w:val="1"/>
      <w:numFmt w:val="bullet"/>
      <w:lvlText w:val=""/>
      <w:lvlJc w:val="left"/>
      <w:pPr>
        <w:ind w:left="4320" w:hanging="360"/>
      </w:pPr>
      <w:rPr>
        <w:rFonts w:ascii="Wingdings" w:hAnsi="Wingdings" w:hint="default"/>
      </w:rPr>
    </w:lvl>
    <w:lvl w:ilvl="6" w:tplc="2C090001" w:tentative="1">
      <w:start w:val="1"/>
      <w:numFmt w:val="bullet"/>
      <w:lvlText w:val=""/>
      <w:lvlJc w:val="left"/>
      <w:pPr>
        <w:ind w:left="5040" w:hanging="360"/>
      </w:pPr>
      <w:rPr>
        <w:rFonts w:ascii="Symbol" w:hAnsi="Symbol" w:hint="default"/>
      </w:rPr>
    </w:lvl>
    <w:lvl w:ilvl="7" w:tplc="2C090003" w:tentative="1">
      <w:start w:val="1"/>
      <w:numFmt w:val="bullet"/>
      <w:lvlText w:val="o"/>
      <w:lvlJc w:val="left"/>
      <w:pPr>
        <w:ind w:left="5760" w:hanging="360"/>
      </w:pPr>
      <w:rPr>
        <w:rFonts w:ascii="Courier New" w:hAnsi="Courier New" w:cs="Courier New" w:hint="default"/>
      </w:rPr>
    </w:lvl>
    <w:lvl w:ilvl="8" w:tplc="2C090005" w:tentative="1">
      <w:start w:val="1"/>
      <w:numFmt w:val="bullet"/>
      <w:lvlText w:val=""/>
      <w:lvlJc w:val="left"/>
      <w:pPr>
        <w:ind w:left="6480" w:hanging="360"/>
      </w:pPr>
      <w:rPr>
        <w:rFonts w:ascii="Wingdings" w:hAnsi="Wingdings" w:hint="default"/>
      </w:rPr>
    </w:lvl>
  </w:abstractNum>
  <w:abstractNum w:abstractNumId="1" w15:restartNumberingAfterBreak="0">
    <w:nsid w:val="2AC208E0"/>
    <w:multiLevelType w:val="hybridMultilevel"/>
    <w:tmpl w:val="6C544AB0"/>
    <w:lvl w:ilvl="0" w:tplc="2C090001">
      <w:start w:val="1"/>
      <w:numFmt w:val="bullet"/>
      <w:lvlText w:val=""/>
      <w:lvlJc w:val="left"/>
      <w:pPr>
        <w:ind w:left="720" w:hanging="360"/>
      </w:pPr>
      <w:rPr>
        <w:rFonts w:ascii="Symbol" w:hAnsi="Symbol" w:hint="default"/>
      </w:rPr>
    </w:lvl>
    <w:lvl w:ilvl="1" w:tplc="2C090003">
      <w:start w:val="1"/>
      <w:numFmt w:val="bullet"/>
      <w:lvlText w:val="o"/>
      <w:lvlJc w:val="left"/>
      <w:pPr>
        <w:ind w:left="1440" w:hanging="360"/>
      </w:pPr>
      <w:rPr>
        <w:rFonts w:ascii="Courier New" w:hAnsi="Courier New" w:cs="Courier New" w:hint="default"/>
      </w:rPr>
    </w:lvl>
    <w:lvl w:ilvl="2" w:tplc="2C090005">
      <w:start w:val="1"/>
      <w:numFmt w:val="bullet"/>
      <w:lvlText w:val=""/>
      <w:lvlJc w:val="left"/>
      <w:pPr>
        <w:ind w:left="2160" w:hanging="360"/>
      </w:pPr>
      <w:rPr>
        <w:rFonts w:ascii="Wingdings" w:hAnsi="Wingdings" w:hint="default"/>
      </w:rPr>
    </w:lvl>
    <w:lvl w:ilvl="3" w:tplc="2C090001">
      <w:start w:val="1"/>
      <w:numFmt w:val="bullet"/>
      <w:lvlText w:val=""/>
      <w:lvlJc w:val="left"/>
      <w:pPr>
        <w:ind w:left="2880" w:hanging="360"/>
      </w:pPr>
      <w:rPr>
        <w:rFonts w:ascii="Symbol" w:hAnsi="Symbol" w:hint="default"/>
      </w:rPr>
    </w:lvl>
    <w:lvl w:ilvl="4" w:tplc="2C090003">
      <w:start w:val="1"/>
      <w:numFmt w:val="bullet"/>
      <w:lvlText w:val="o"/>
      <w:lvlJc w:val="left"/>
      <w:pPr>
        <w:ind w:left="3600" w:hanging="360"/>
      </w:pPr>
      <w:rPr>
        <w:rFonts w:ascii="Courier New" w:hAnsi="Courier New" w:cs="Courier New" w:hint="default"/>
      </w:rPr>
    </w:lvl>
    <w:lvl w:ilvl="5" w:tplc="2C090005">
      <w:start w:val="1"/>
      <w:numFmt w:val="bullet"/>
      <w:lvlText w:val=""/>
      <w:lvlJc w:val="left"/>
      <w:pPr>
        <w:ind w:left="4320" w:hanging="360"/>
      </w:pPr>
      <w:rPr>
        <w:rFonts w:ascii="Wingdings" w:hAnsi="Wingdings" w:hint="default"/>
      </w:rPr>
    </w:lvl>
    <w:lvl w:ilvl="6" w:tplc="2C090001">
      <w:start w:val="1"/>
      <w:numFmt w:val="bullet"/>
      <w:lvlText w:val=""/>
      <w:lvlJc w:val="left"/>
      <w:pPr>
        <w:ind w:left="5040" w:hanging="360"/>
      </w:pPr>
      <w:rPr>
        <w:rFonts w:ascii="Symbol" w:hAnsi="Symbol" w:hint="default"/>
      </w:rPr>
    </w:lvl>
    <w:lvl w:ilvl="7" w:tplc="2C090003">
      <w:start w:val="1"/>
      <w:numFmt w:val="bullet"/>
      <w:lvlText w:val="o"/>
      <w:lvlJc w:val="left"/>
      <w:pPr>
        <w:ind w:left="5760" w:hanging="360"/>
      </w:pPr>
      <w:rPr>
        <w:rFonts w:ascii="Courier New" w:hAnsi="Courier New" w:cs="Courier New" w:hint="default"/>
      </w:rPr>
    </w:lvl>
    <w:lvl w:ilvl="8" w:tplc="2C090005">
      <w:start w:val="1"/>
      <w:numFmt w:val="bullet"/>
      <w:lvlText w:val=""/>
      <w:lvlJc w:val="left"/>
      <w:pPr>
        <w:ind w:left="6480" w:hanging="360"/>
      </w:pPr>
      <w:rPr>
        <w:rFonts w:ascii="Wingdings" w:hAnsi="Wingdings" w:hint="default"/>
      </w:rPr>
    </w:lvl>
  </w:abstractNum>
  <w:abstractNum w:abstractNumId="2" w15:restartNumberingAfterBreak="0">
    <w:nsid w:val="39082BAD"/>
    <w:multiLevelType w:val="hybridMultilevel"/>
    <w:tmpl w:val="75CCADEC"/>
    <w:lvl w:ilvl="0" w:tplc="2C090001">
      <w:start w:val="1"/>
      <w:numFmt w:val="bullet"/>
      <w:lvlText w:val=""/>
      <w:lvlJc w:val="left"/>
      <w:pPr>
        <w:ind w:left="720" w:hanging="360"/>
      </w:pPr>
      <w:rPr>
        <w:rFonts w:ascii="Symbol" w:hAnsi="Symbol" w:hint="default"/>
      </w:rPr>
    </w:lvl>
    <w:lvl w:ilvl="1" w:tplc="2C090003" w:tentative="1">
      <w:start w:val="1"/>
      <w:numFmt w:val="bullet"/>
      <w:lvlText w:val="o"/>
      <w:lvlJc w:val="left"/>
      <w:pPr>
        <w:ind w:left="1440" w:hanging="360"/>
      </w:pPr>
      <w:rPr>
        <w:rFonts w:ascii="Courier New" w:hAnsi="Courier New" w:cs="Courier New" w:hint="default"/>
      </w:rPr>
    </w:lvl>
    <w:lvl w:ilvl="2" w:tplc="2C090005" w:tentative="1">
      <w:start w:val="1"/>
      <w:numFmt w:val="bullet"/>
      <w:lvlText w:val=""/>
      <w:lvlJc w:val="left"/>
      <w:pPr>
        <w:ind w:left="2160" w:hanging="360"/>
      </w:pPr>
      <w:rPr>
        <w:rFonts w:ascii="Wingdings" w:hAnsi="Wingdings" w:hint="default"/>
      </w:rPr>
    </w:lvl>
    <w:lvl w:ilvl="3" w:tplc="2C090001" w:tentative="1">
      <w:start w:val="1"/>
      <w:numFmt w:val="bullet"/>
      <w:lvlText w:val=""/>
      <w:lvlJc w:val="left"/>
      <w:pPr>
        <w:ind w:left="2880" w:hanging="360"/>
      </w:pPr>
      <w:rPr>
        <w:rFonts w:ascii="Symbol" w:hAnsi="Symbol" w:hint="default"/>
      </w:rPr>
    </w:lvl>
    <w:lvl w:ilvl="4" w:tplc="2C090003" w:tentative="1">
      <w:start w:val="1"/>
      <w:numFmt w:val="bullet"/>
      <w:lvlText w:val="o"/>
      <w:lvlJc w:val="left"/>
      <w:pPr>
        <w:ind w:left="3600" w:hanging="360"/>
      </w:pPr>
      <w:rPr>
        <w:rFonts w:ascii="Courier New" w:hAnsi="Courier New" w:cs="Courier New" w:hint="default"/>
      </w:rPr>
    </w:lvl>
    <w:lvl w:ilvl="5" w:tplc="2C090005" w:tentative="1">
      <w:start w:val="1"/>
      <w:numFmt w:val="bullet"/>
      <w:lvlText w:val=""/>
      <w:lvlJc w:val="left"/>
      <w:pPr>
        <w:ind w:left="4320" w:hanging="360"/>
      </w:pPr>
      <w:rPr>
        <w:rFonts w:ascii="Wingdings" w:hAnsi="Wingdings" w:hint="default"/>
      </w:rPr>
    </w:lvl>
    <w:lvl w:ilvl="6" w:tplc="2C090001" w:tentative="1">
      <w:start w:val="1"/>
      <w:numFmt w:val="bullet"/>
      <w:lvlText w:val=""/>
      <w:lvlJc w:val="left"/>
      <w:pPr>
        <w:ind w:left="5040" w:hanging="360"/>
      </w:pPr>
      <w:rPr>
        <w:rFonts w:ascii="Symbol" w:hAnsi="Symbol" w:hint="default"/>
      </w:rPr>
    </w:lvl>
    <w:lvl w:ilvl="7" w:tplc="2C090003" w:tentative="1">
      <w:start w:val="1"/>
      <w:numFmt w:val="bullet"/>
      <w:lvlText w:val="o"/>
      <w:lvlJc w:val="left"/>
      <w:pPr>
        <w:ind w:left="5760" w:hanging="360"/>
      </w:pPr>
      <w:rPr>
        <w:rFonts w:ascii="Courier New" w:hAnsi="Courier New" w:cs="Courier New" w:hint="default"/>
      </w:rPr>
    </w:lvl>
    <w:lvl w:ilvl="8" w:tplc="2C090005" w:tentative="1">
      <w:start w:val="1"/>
      <w:numFmt w:val="bullet"/>
      <w:lvlText w:val=""/>
      <w:lvlJc w:val="left"/>
      <w:pPr>
        <w:ind w:left="6480" w:hanging="360"/>
      </w:pPr>
      <w:rPr>
        <w:rFonts w:ascii="Wingdings" w:hAnsi="Wingdings" w:hint="default"/>
      </w:rPr>
    </w:lvl>
  </w:abstractNum>
  <w:abstractNum w:abstractNumId="3" w15:restartNumberingAfterBreak="0">
    <w:nsid w:val="41B87710"/>
    <w:multiLevelType w:val="hybridMultilevel"/>
    <w:tmpl w:val="C9CAC86A"/>
    <w:lvl w:ilvl="0" w:tplc="2C090001">
      <w:start w:val="1"/>
      <w:numFmt w:val="bullet"/>
      <w:lvlText w:val=""/>
      <w:lvlJc w:val="left"/>
      <w:pPr>
        <w:ind w:left="720" w:hanging="360"/>
      </w:pPr>
      <w:rPr>
        <w:rFonts w:ascii="Symbol" w:hAnsi="Symbol" w:hint="default"/>
      </w:rPr>
    </w:lvl>
    <w:lvl w:ilvl="1" w:tplc="2C090003" w:tentative="1">
      <w:start w:val="1"/>
      <w:numFmt w:val="bullet"/>
      <w:lvlText w:val="o"/>
      <w:lvlJc w:val="left"/>
      <w:pPr>
        <w:ind w:left="1440" w:hanging="360"/>
      </w:pPr>
      <w:rPr>
        <w:rFonts w:ascii="Courier New" w:hAnsi="Courier New" w:cs="Courier New" w:hint="default"/>
      </w:rPr>
    </w:lvl>
    <w:lvl w:ilvl="2" w:tplc="2C090005" w:tentative="1">
      <w:start w:val="1"/>
      <w:numFmt w:val="bullet"/>
      <w:lvlText w:val=""/>
      <w:lvlJc w:val="left"/>
      <w:pPr>
        <w:ind w:left="2160" w:hanging="360"/>
      </w:pPr>
      <w:rPr>
        <w:rFonts w:ascii="Wingdings" w:hAnsi="Wingdings" w:hint="default"/>
      </w:rPr>
    </w:lvl>
    <w:lvl w:ilvl="3" w:tplc="2C090001" w:tentative="1">
      <w:start w:val="1"/>
      <w:numFmt w:val="bullet"/>
      <w:lvlText w:val=""/>
      <w:lvlJc w:val="left"/>
      <w:pPr>
        <w:ind w:left="2880" w:hanging="360"/>
      </w:pPr>
      <w:rPr>
        <w:rFonts w:ascii="Symbol" w:hAnsi="Symbol" w:hint="default"/>
      </w:rPr>
    </w:lvl>
    <w:lvl w:ilvl="4" w:tplc="2C090003" w:tentative="1">
      <w:start w:val="1"/>
      <w:numFmt w:val="bullet"/>
      <w:lvlText w:val="o"/>
      <w:lvlJc w:val="left"/>
      <w:pPr>
        <w:ind w:left="3600" w:hanging="360"/>
      </w:pPr>
      <w:rPr>
        <w:rFonts w:ascii="Courier New" w:hAnsi="Courier New" w:cs="Courier New" w:hint="default"/>
      </w:rPr>
    </w:lvl>
    <w:lvl w:ilvl="5" w:tplc="2C090005" w:tentative="1">
      <w:start w:val="1"/>
      <w:numFmt w:val="bullet"/>
      <w:lvlText w:val=""/>
      <w:lvlJc w:val="left"/>
      <w:pPr>
        <w:ind w:left="4320" w:hanging="360"/>
      </w:pPr>
      <w:rPr>
        <w:rFonts w:ascii="Wingdings" w:hAnsi="Wingdings" w:hint="default"/>
      </w:rPr>
    </w:lvl>
    <w:lvl w:ilvl="6" w:tplc="2C090001" w:tentative="1">
      <w:start w:val="1"/>
      <w:numFmt w:val="bullet"/>
      <w:lvlText w:val=""/>
      <w:lvlJc w:val="left"/>
      <w:pPr>
        <w:ind w:left="5040" w:hanging="360"/>
      </w:pPr>
      <w:rPr>
        <w:rFonts w:ascii="Symbol" w:hAnsi="Symbol" w:hint="default"/>
      </w:rPr>
    </w:lvl>
    <w:lvl w:ilvl="7" w:tplc="2C090003" w:tentative="1">
      <w:start w:val="1"/>
      <w:numFmt w:val="bullet"/>
      <w:lvlText w:val="o"/>
      <w:lvlJc w:val="left"/>
      <w:pPr>
        <w:ind w:left="5760" w:hanging="360"/>
      </w:pPr>
      <w:rPr>
        <w:rFonts w:ascii="Courier New" w:hAnsi="Courier New" w:cs="Courier New" w:hint="default"/>
      </w:rPr>
    </w:lvl>
    <w:lvl w:ilvl="8" w:tplc="2C090005" w:tentative="1">
      <w:start w:val="1"/>
      <w:numFmt w:val="bullet"/>
      <w:lvlText w:val=""/>
      <w:lvlJc w:val="left"/>
      <w:pPr>
        <w:ind w:left="6480" w:hanging="360"/>
      </w:pPr>
      <w:rPr>
        <w:rFonts w:ascii="Wingdings" w:hAnsi="Wingdings" w:hint="default"/>
      </w:rPr>
    </w:lvl>
  </w:abstractNum>
  <w:abstractNum w:abstractNumId="4" w15:restartNumberingAfterBreak="0">
    <w:nsid w:val="51B85410"/>
    <w:multiLevelType w:val="hybridMultilevel"/>
    <w:tmpl w:val="71C03CA0"/>
    <w:lvl w:ilvl="0" w:tplc="2C09000F">
      <w:start w:val="1"/>
      <w:numFmt w:val="decimal"/>
      <w:lvlText w:val="%1."/>
      <w:lvlJc w:val="left"/>
      <w:pPr>
        <w:ind w:left="360" w:hanging="360"/>
      </w:pPr>
      <w:rPr>
        <w:rFonts w:hint="default"/>
      </w:rPr>
    </w:lvl>
    <w:lvl w:ilvl="1" w:tplc="2C090019" w:tentative="1">
      <w:start w:val="1"/>
      <w:numFmt w:val="lowerLetter"/>
      <w:lvlText w:val="%2."/>
      <w:lvlJc w:val="left"/>
      <w:pPr>
        <w:ind w:left="1440" w:hanging="360"/>
      </w:pPr>
    </w:lvl>
    <w:lvl w:ilvl="2" w:tplc="2C09001B" w:tentative="1">
      <w:start w:val="1"/>
      <w:numFmt w:val="lowerRoman"/>
      <w:lvlText w:val="%3."/>
      <w:lvlJc w:val="right"/>
      <w:pPr>
        <w:ind w:left="2160" w:hanging="180"/>
      </w:pPr>
    </w:lvl>
    <w:lvl w:ilvl="3" w:tplc="2C09000F" w:tentative="1">
      <w:start w:val="1"/>
      <w:numFmt w:val="decimal"/>
      <w:lvlText w:val="%4."/>
      <w:lvlJc w:val="left"/>
      <w:pPr>
        <w:ind w:left="2880" w:hanging="360"/>
      </w:pPr>
    </w:lvl>
    <w:lvl w:ilvl="4" w:tplc="2C090019" w:tentative="1">
      <w:start w:val="1"/>
      <w:numFmt w:val="lowerLetter"/>
      <w:lvlText w:val="%5."/>
      <w:lvlJc w:val="left"/>
      <w:pPr>
        <w:ind w:left="3600" w:hanging="360"/>
      </w:pPr>
    </w:lvl>
    <w:lvl w:ilvl="5" w:tplc="2C09001B" w:tentative="1">
      <w:start w:val="1"/>
      <w:numFmt w:val="lowerRoman"/>
      <w:lvlText w:val="%6."/>
      <w:lvlJc w:val="right"/>
      <w:pPr>
        <w:ind w:left="4320" w:hanging="180"/>
      </w:pPr>
    </w:lvl>
    <w:lvl w:ilvl="6" w:tplc="2C09000F" w:tentative="1">
      <w:start w:val="1"/>
      <w:numFmt w:val="decimal"/>
      <w:lvlText w:val="%7."/>
      <w:lvlJc w:val="left"/>
      <w:pPr>
        <w:ind w:left="5040" w:hanging="360"/>
      </w:pPr>
    </w:lvl>
    <w:lvl w:ilvl="7" w:tplc="2C090019" w:tentative="1">
      <w:start w:val="1"/>
      <w:numFmt w:val="lowerLetter"/>
      <w:lvlText w:val="%8."/>
      <w:lvlJc w:val="left"/>
      <w:pPr>
        <w:ind w:left="5760" w:hanging="360"/>
      </w:pPr>
    </w:lvl>
    <w:lvl w:ilvl="8" w:tplc="2C09001B" w:tentative="1">
      <w:start w:val="1"/>
      <w:numFmt w:val="lowerRoman"/>
      <w:lvlText w:val="%9."/>
      <w:lvlJc w:val="right"/>
      <w:pPr>
        <w:ind w:left="6480" w:hanging="180"/>
      </w:pPr>
    </w:lvl>
  </w:abstractNum>
  <w:abstractNum w:abstractNumId="5" w15:restartNumberingAfterBreak="0">
    <w:nsid w:val="551F4B81"/>
    <w:multiLevelType w:val="hybridMultilevel"/>
    <w:tmpl w:val="917EF7B2"/>
    <w:lvl w:ilvl="0" w:tplc="2C090001">
      <w:start w:val="1"/>
      <w:numFmt w:val="bullet"/>
      <w:lvlText w:val=""/>
      <w:lvlJc w:val="left"/>
      <w:pPr>
        <w:ind w:left="720" w:hanging="360"/>
      </w:pPr>
      <w:rPr>
        <w:rFonts w:ascii="Symbol" w:hAnsi="Symbol" w:hint="default"/>
      </w:rPr>
    </w:lvl>
    <w:lvl w:ilvl="1" w:tplc="2C090003" w:tentative="1">
      <w:start w:val="1"/>
      <w:numFmt w:val="bullet"/>
      <w:lvlText w:val="o"/>
      <w:lvlJc w:val="left"/>
      <w:pPr>
        <w:ind w:left="1440" w:hanging="360"/>
      </w:pPr>
      <w:rPr>
        <w:rFonts w:ascii="Courier New" w:hAnsi="Courier New" w:cs="Courier New" w:hint="default"/>
      </w:rPr>
    </w:lvl>
    <w:lvl w:ilvl="2" w:tplc="2C090005" w:tentative="1">
      <w:start w:val="1"/>
      <w:numFmt w:val="bullet"/>
      <w:lvlText w:val=""/>
      <w:lvlJc w:val="left"/>
      <w:pPr>
        <w:ind w:left="2160" w:hanging="360"/>
      </w:pPr>
      <w:rPr>
        <w:rFonts w:ascii="Wingdings" w:hAnsi="Wingdings" w:hint="default"/>
      </w:rPr>
    </w:lvl>
    <w:lvl w:ilvl="3" w:tplc="2C090001" w:tentative="1">
      <w:start w:val="1"/>
      <w:numFmt w:val="bullet"/>
      <w:lvlText w:val=""/>
      <w:lvlJc w:val="left"/>
      <w:pPr>
        <w:ind w:left="2880" w:hanging="360"/>
      </w:pPr>
      <w:rPr>
        <w:rFonts w:ascii="Symbol" w:hAnsi="Symbol" w:hint="default"/>
      </w:rPr>
    </w:lvl>
    <w:lvl w:ilvl="4" w:tplc="2C090003" w:tentative="1">
      <w:start w:val="1"/>
      <w:numFmt w:val="bullet"/>
      <w:lvlText w:val="o"/>
      <w:lvlJc w:val="left"/>
      <w:pPr>
        <w:ind w:left="3600" w:hanging="360"/>
      </w:pPr>
      <w:rPr>
        <w:rFonts w:ascii="Courier New" w:hAnsi="Courier New" w:cs="Courier New" w:hint="default"/>
      </w:rPr>
    </w:lvl>
    <w:lvl w:ilvl="5" w:tplc="2C090005" w:tentative="1">
      <w:start w:val="1"/>
      <w:numFmt w:val="bullet"/>
      <w:lvlText w:val=""/>
      <w:lvlJc w:val="left"/>
      <w:pPr>
        <w:ind w:left="4320" w:hanging="360"/>
      </w:pPr>
      <w:rPr>
        <w:rFonts w:ascii="Wingdings" w:hAnsi="Wingdings" w:hint="default"/>
      </w:rPr>
    </w:lvl>
    <w:lvl w:ilvl="6" w:tplc="2C090001" w:tentative="1">
      <w:start w:val="1"/>
      <w:numFmt w:val="bullet"/>
      <w:lvlText w:val=""/>
      <w:lvlJc w:val="left"/>
      <w:pPr>
        <w:ind w:left="5040" w:hanging="360"/>
      </w:pPr>
      <w:rPr>
        <w:rFonts w:ascii="Symbol" w:hAnsi="Symbol" w:hint="default"/>
      </w:rPr>
    </w:lvl>
    <w:lvl w:ilvl="7" w:tplc="2C090003" w:tentative="1">
      <w:start w:val="1"/>
      <w:numFmt w:val="bullet"/>
      <w:lvlText w:val="o"/>
      <w:lvlJc w:val="left"/>
      <w:pPr>
        <w:ind w:left="5760" w:hanging="360"/>
      </w:pPr>
      <w:rPr>
        <w:rFonts w:ascii="Courier New" w:hAnsi="Courier New" w:cs="Courier New" w:hint="default"/>
      </w:rPr>
    </w:lvl>
    <w:lvl w:ilvl="8" w:tplc="2C090005" w:tentative="1">
      <w:start w:val="1"/>
      <w:numFmt w:val="bullet"/>
      <w:lvlText w:val=""/>
      <w:lvlJc w:val="left"/>
      <w:pPr>
        <w:ind w:left="6480" w:hanging="360"/>
      </w:pPr>
      <w:rPr>
        <w:rFonts w:ascii="Wingdings" w:hAnsi="Wingdings" w:hint="default"/>
      </w:rPr>
    </w:lvl>
  </w:abstractNum>
  <w:abstractNum w:abstractNumId="6" w15:restartNumberingAfterBreak="0">
    <w:nsid w:val="70623BA4"/>
    <w:multiLevelType w:val="hybridMultilevel"/>
    <w:tmpl w:val="99C46BBE"/>
    <w:lvl w:ilvl="0" w:tplc="2C090001">
      <w:start w:val="1"/>
      <w:numFmt w:val="bullet"/>
      <w:lvlText w:val=""/>
      <w:lvlJc w:val="left"/>
      <w:pPr>
        <w:ind w:left="720" w:hanging="360"/>
      </w:pPr>
      <w:rPr>
        <w:rFonts w:ascii="Symbol" w:hAnsi="Symbol" w:hint="default"/>
      </w:rPr>
    </w:lvl>
    <w:lvl w:ilvl="1" w:tplc="2C090003" w:tentative="1">
      <w:start w:val="1"/>
      <w:numFmt w:val="bullet"/>
      <w:lvlText w:val="o"/>
      <w:lvlJc w:val="left"/>
      <w:pPr>
        <w:ind w:left="1440" w:hanging="360"/>
      </w:pPr>
      <w:rPr>
        <w:rFonts w:ascii="Courier New" w:hAnsi="Courier New" w:cs="Courier New" w:hint="default"/>
      </w:rPr>
    </w:lvl>
    <w:lvl w:ilvl="2" w:tplc="2C090005" w:tentative="1">
      <w:start w:val="1"/>
      <w:numFmt w:val="bullet"/>
      <w:lvlText w:val=""/>
      <w:lvlJc w:val="left"/>
      <w:pPr>
        <w:ind w:left="2160" w:hanging="360"/>
      </w:pPr>
      <w:rPr>
        <w:rFonts w:ascii="Wingdings" w:hAnsi="Wingdings" w:hint="default"/>
      </w:rPr>
    </w:lvl>
    <w:lvl w:ilvl="3" w:tplc="2C090001" w:tentative="1">
      <w:start w:val="1"/>
      <w:numFmt w:val="bullet"/>
      <w:lvlText w:val=""/>
      <w:lvlJc w:val="left"/>
      <w:pPr>
        <w:ind w:left="2880" w:hanging="360"/>
      </w:pPr>
      <w:rPr>
        <w:rFonts w:ascii="Symbol" w:hAnsi="Symbol" w:hint="default"/>
      </w:rPr>
    </w:lvl>
    <w:lvl w:ilvl="4" w:tplc="2C090003" w:tentative="1">
      <w:start w:val="1"/>
      <w:numFmt w:val="bullet"/>
      <w:lvlText w:val="o"/>
      <w:lvlJc w:val="left"/>
      <w:pPr>
        <w:ind w:left="3600" w:hanging="360"/>
      </w:pPr>
      <w:rPr>
        <w:rFonts w:ascii="Courier New" w:hAnsi="Courier New" w:cs="Courier New" w:hint="default"/>
      </w:rPr>
    </w:lvl>
    <w:lvl w:ilvl="5" w:tplc="2C090005" w:tentative="1">
      <w:start w:val="1"/>
      <w:numFmt w:val="bullet"/>
      <w:lvlText w:val=""/>
      <w:lvlJc w:val="left"/>
      <w:pPr>
        <w:ind w:left="4320" w:hanging="360"/>
      </w:pPr>
      <w:rPr>
        <w:rFonts w:ascii="Wingdings" w:hAnsi="Wingdings" w:hint="default"/>
      </w:rPr>
    </w:lvl>
    <w:lvl w:ilvl="6" w:tplc="2C090001" w:tentative="1">
      <w:start w:val="1"/>
      <w:numFmt w:val="bullet"/>
      <w:lvlText w:val=""/>
      <w:lvlJc w:val="left"/>
      <w:pPr>
        <w:ind w:left="5040" w:hanging="360"/>
      </w:pPr>
      <w:rPr>
        <w:rFonts w:ascii="Symbol" w:hAnsi="Symbol" w:hint="default"/>
      </w:rPr>
    </w:lvl>
    <w:lvl w:ilvl="7" w:tplc="2C090003" w:tentative="1">
      <w:start w:val="1"/>
      <w:numFmt w:val="bullet"/>
      <w:lvlText w:val="o"/>
      <w:lvlJc w:val="left"/>
      <w:pPr>
        <w:ind w:left="5760" w:hanging="360"/>
      </w:pPr>
      <w:rPr>
        <w:rFonts w:ascii="Courier New" w:hAnsi="Courier New" w:cs="Courier New" w:hint="default"/>
      </w:rPr>
    </w:lvl>
    <w:lvl w:ilvl="8" w:tplc="2C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6"/>
  </w:num>
  <w:num w:numId="4">
    <w:abstractNumId w:val="0"/>
  </w:num>
  <w:num w:numId="5">
    <w:abstractNumId w:val="3"/>
  </w:num>
  <w:num w:numId="6">
    <w:abstractNumId w:val="1"/>
    <w:lvlOverride w:ilvl="0"/>
    <w:lvlOverride w:ilvl="1"/>
    <w:lvlOverride w:ilvl="2"/>
    <w:lvlOverride w:ilvl="3"/>
    <w:lvlOverride w:ilvl="4"/>
    <w:lvlOverride w:ilvl="5"/>
    <w:lvlOverride w:ilvl="6"/>
    <w:lvlOverride w:ilvl="7"/>
    <w:lvlOverride w:ilvl="8"/>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00F0"/>
    <w:rsid w:val="00053C18"/>
    <w:rsid w:val="000A00F0"/>
    <w:rsid w:val="00153C0F"/>
    <w:rsid w:val="002160A1"/>
    <w:rsid w:val="002F36DD"/>
    <w:rsid w:val="00751694"/>
    <w:rsid w:val="0093491F"/>
    <w:rsid w:val="00A236C7"/>
    <w:rsid w:val="00D52C76"/>
    <w:rsid w:val="00E9484B"/>
    <w:rsid w:val="00F1265E"/>
  </w:rsids>
  <m:mathPr>
    <m:mathFont m:val="Cambria Math"/>
    <m:brkBin m:val="before"/>
    <m:brkBinSub m:val="--"/>
    <m:smallFrac m:val="0"/>
    <m:dispDef/>
    <m:lMargin m:val="0"/>
    <m:rMargin m:val="0"/>
    <m:defJc m:val="centerGroup"/>
    <m:wrapIndent m:val="1440"/>
    <m:intLim m:val="subSup"/>
    <m:naryLim m:val="undOvr"/>
  </m:mathPr>
  <w:themeFontLang w:val="en-T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EDE968"/>
  <w15:chartTrackingRefBased/>
  <w15:docId w15:val="{B9CACCF7-AF8F-4361-A57F-C021A88DBF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T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53C0F"/>
    <w:pPr>
      <w:spacing w:line="256" w:lineRule="auto"/>
    </w:pPr>
  </w:style>
  <w:style w:type="paragraph" w:styleId="Heading3">
    <w:name w:val="heading 3"/>
    <w:basedOn w:val="Normal"/>
    <w:link w:val="Heading3Char"/>
    <w:uiPriority w:val="9"/>
    <w:qFormat/>
    <w:rsid w:val="002160A1"/>
    <w:pPr>
      <w:spacing w:before="100" w:beforeAutospacing="1" w:after="100" w:afterAutospacing="1" w:line="240" w:lineRule="auto"/>
      <w:outlineLvl w:val="2"/>
    </w:pPr>
    <w:rPr>
      <w:rFonts w:ascii="Times New Roman" w:eastAsia="Times New Roman" w:hAnsi="Times New Roman" w:cs="Times New Roman"/>
      <w:b/>
      <w:bCs/>
      <w:sz w:val="27"/>
      <w:szCs w:val="27"/>
      <w:lang w:eastAsia="en-TT"/>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00F0"/>
    <w:pPr>
      <w:ind w:left="720"/>
      <w:contextualSpacing/>
    </w:pPr>
  </w:style>
  <w:style w:type="character" w:customStyle="1" w:styleId="Heading3Char">
    <w:name w:val="Heading 3 Char"/>
    <w:basedOn w:val="DefaultParagraphFont"/>
    <w:link w:val="Heading3"/>
    <w:uiPriority w:val="9"/>
    <w:rsid w:val="002160A1"/>
    <w:rPr>
      <w:rFonts w:ascii="Times New Roman" w:eastAsia="Times New Roman" w:hAnsi="Times New Roman" w:cs="Times New Roman"/>
      <w:b/>
      <w:bCs/>
      <w:sz w:val="27"/>
      <w:szCs w:val="27"/>
      <w:lang w:eastAsia="en-TT"/>
    </w:rPr>
  </w:style>
  <w:style w:type="character" w:styleId="Hyperlink">
    <w:name w:val="Hyperlink"/>
    <w:basedOn w:val="DefaultParagraphFont"/>
    <w:uiPriority w:val="99"/>
    <w:unhideWhenUsed/>
    <w:rsid w:val="002160A1"/>
    <w:rPr>
      <w:color w:val="0000FF"/>
      <w:u w:val="single"/>
    </w:rPr>
  </w:style>
  <w:style w:type="character" w:styleId="UnresolvedMention">
    <w:name w:val="Unresolved Mention"/>
    <w:basedOn w:val="DefaultParagraphFont"/>
    <w:uiPriority w:val="99"/>
    <w:semiHidden/>
    <w:unhideWhenUsed/>
    <w:rsid w:val="002160A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6962203">
      <w:bodyDiv w:val="1"/>
      <w:marLeft w:val="0"/>
      <w:marRight w:val="0"/>
      <w:marTop w:val="0"/>
      <w:marBottom w:val="0"/>
      <w:divBdr>
        <w:top w:val="none" w:sz="0" w:space="0" w:color="auto"/>
        <w:left w:val="none" w:sz="0" w:space="0" w:color="auto"/>
        <w:bottom w:val="none" w:sz="0" w:space="0" w:color="auto"/>
        <w:right w:val="none" w:sz="0" w:space="0" w:color="auto"/>
      </w:divBdr>
    </w:div>
    <w:div w:id="1280144094">
      <w:bodyDiv w:val="1"/>
      <w:marLeft w:val="0"/>
      <w:marRight w:val="0"/>
      <w:marTop w:val="0"/>
      <w:marBottom w:val="0"/>
      <w:divBdr>
        <w:top w:val="none" w:sz="0" w:space="0" w:color="auto"/>
        <w:left w:val="none" w:sz="0" w:space="0" w:color="auto"/>
        <w:bottom w:val="none" w:sz="0" w:space="0" w:color="auto"/>
        <w:right w:val="none" w:sz="0" w:space="0" w:color="auto"/>
      </w:divBdr>
    </w:div>
    <w:div w:id="1385955962">
      <w:bodyDiv w:val="1"/>
      <w:marLeft w:val="0"/>
      <w:marRight w:val="0"/>
      <w:marTop w:val="0"/>
      <w:marBottom w:val="0"/>
      <w:divBdr>
        <w:top w:val="none" w:sz="0" w:space="0" w:color="auto"/>
        <w:left w:val="none" w:sz="0" w:space="0" w:color="auto"/>
        <w:bottom w:val="none" w:sz="0" w:space="0" w:color="auto"/>
        <w:right w:val="none" w:sz="0" w:space="0" w:color="auto"/>
      </w:divBdr>
    </w:div>
    <w:div w:id="1400983723">
      <w:bodyDiv w:val="1"/>
      <w:marLeft w:val="0"/>
      <w:marRight w:val="0"/>
      <w:marTop w:val="0"/>
      <w:marBottom w:val="0"/>
      <w:divBdr>
        <w:top w:val="none" w:sz="0" w:space="0" w:color="auto"/>
        <w:left w:val="none" w:sz="0" w:space="0" w:color="auto"/>
        <w:bottom w:val="none" w:sz="0" w:space="0" w:color="auto"/>
        <w:right w:val="none" w:sz="0" w:space="0" w:color="auto"/>
      </w:divBdr>
    </w:div>
    <w:div w:id="1459949617">
      <w:bodyDiv w:val="1"/>
      <w:marLeft w:val="0"/>
      <w:marRight w:val="0"/>
      <w:marTop w:val="0"/>
      <w:marBottom w:val="0"/>
      <w:divBdr>
        <w:top w:val="none" w:sz="0" w:space="0" w:color="auto"/>
        <w:left w:val="none" w:sz="0" w:space="0" w:color="auto"/>
        <w:bottom w:val="none" w:sz="0" w:space="0" w:color="auto"/>
        <w:right w:val="none" w:sz="0" w:space="0" w:color="auto"/>
      </w:divBdr>
    </w:div>
    <w:div w:id="1623731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png"/><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4C5FED-87D5-45BB-B38E-CCDD45AD67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2960</TotalTime>
  <Pages>5</Pages>
  <Words>753</Words>
  <Characters>4293</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alanis.boodram</dc:creator>
  <cp:keywords/>
  <dc:description/>
  <cp:lastModifiedBy>alanis.boodram</cp:lastModifiedBy>
  <cp:revision>1</cp:revision>
  <dcterms:created xsi:type="dcterms:W3CDTF">2018-11-22T00:32:00Z</dcterms:created>
  <dcterms:modified xsi:type="dcterms:W3CDTF">2018-11-24T01:53:00Z</dcterms:modified>
</cp:coreProperties>
</file>