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99FFCC"/>
  <w:body>
    <w:p w:rsidR="00A052AC" w:rsidRDefault="00734D8E" w:rsidP="00734D8E">
      <w:pPr>
        <w:jc w:val="center"/>
        <w:rPr>
          <w:b/>
          <w:color w:val="538135" w:themeColor="accent6" w:themeShade="BF"/>
          <w:sz w:val="32"/>
          <w:u w:val="single"/>
        </w:rPr>
      </w:pPr>
      <w:r>
        <w:rPr>
          <w:b/>
          <w:color w:val="538135" w:themeColor="accent6" w:themeShade="BF"/>
          <w:sz w:val="32"/>
          <w:u w:val="single"/>
        </w:rPr>
        <w:t>Exenteration Technique</w:t>
      </w:r>
    </w:p>
    <w:p w:rsidR="00734D8E" w:rsidRPr="00734D8E" w:rsidRDefault="00734D8E" w:rsidP="00734D8E">
      <w:pPr>
        <w:pStyle w:val="Default"/>
        <w:spacing w:line="360" w:lineRule="auto"/>
        <w:rPr>
          <w:rFonts w:ascii="Cambria" w:hAnsi="Cambria"/>
        </w:rPr>
      </w:pPr>
      <w:r w:rsidRPr="00734D8E">
        <w:rPr>
          <w:rFonts w:ascii="Cambria" w:hAnsi="Cambria"/>
          <w:bCs/>
        </w:rPr>
        <w:t>There ar</w:t>
      </w:r>
      <w:r w:rsidR="00E26512">
        <w:rPr>
          <w:rFonts w:ascii="Cambria" w:hAnsi="Cambria"/>
          <w:bCs/>
        </w:rPr>
        <w:t>e 3 types of eye removal surgery</w:t>
      </w:r>
      <w:r w:rsidRPr="00734D8E">
        <w:rPr>
          <w:rFonts w:ascii="Cambria" w:hAnsi="Cambria"/>
          <w:bCs/>
        </w:rPr>
        <w:t>:</w:t>
      </w:r>
    </w:p>
    <w:p w:rsidR="00734D8E" w:rsidRDefault="00734D8E" w:rsidP="00E26512">
      <w:pPr>
        <w:pStyle w:val="Default"/>
        <w:numPr>
          <w:ilvl w:val="0"/>
          <w:numId w:val="1"/>
        </w:numPr>
        <w:spacing w:after="217" w:line="360" w:lineRule="auto"/>
        <w:jc w:val="both"/>
        <w:rPr>
          <w:rFonts w:ascii="Cambria" w:hAnsi="Cambria"/>
        </w:rPr>
      </w:pPr>
      <w:r w:rsidRPr="00734D8E">
        <w:rPr>
          <w:rFonts w:ascii="Cambria" w:hAnsi="Cambria"/>
          <w:b/>
          <w:color w:val="7030A0"/>
        </w:rPr>
        <w:t>Evisceration</w:t>
      </w:r>
      <w:r w:rsidRPr="00734D8E">
        <w:rPr>
          <w:rFonts w:ascii="Cambria" w:hAnsi="Cambria"/>
        </w:rPr>
        <w:t xml:space="preserve"> –removal the intraocular contents only, (the sclera and extraocular</w:t>
      </w:r>
      <w:r>
        <w:rPr>
          <w:rFonts w:ascii="Cambria" w:hAnsi="Cambria"/>
        </w:rPr>
        <w:t xml:space="preserve"> </w:t>
      </w:r>
      <w:r w:rsidRPr="00734D8E">
        <w:rPr>
          <w:rFonts w:ascii="Cambria" w:hAnsi="Cambria"/>
        </w:rPr>
        <w:t>muscles are left attached).</w:t>
      </w:r>
      <w:r w:rsidR="00E26512">
        <w:rPr>
          <w:rFonts w:ascii="Cambria" w:hAnsi="Cambria"/>
        </w:rPr>
        <w:t xml:space="preserve"> </w:t>
      </w:r>
      <w:r w:rsidR="00E26512">
        <w:rPr>
          <w:rFonts w:ascii="Cambria" w:hAnsi="Cambria"/>
          <w:color w:val="0070C0"/>
        </w:rPr>
        <w:t xml:space="preserve">Indications: </w:t>
      </w:r>
      <w:r w:rsidR="00E26512">
        <w:rPr>
          <w:rFonts w:ascii="Cambria" w:hAnsi="Cambria"/>
          <w:color w:val="auto"/>
        </w:rPr>
        <w:t xml:space="preserve">for the treatment of a painful, blind eye; for the presence of an inoperable intraocular neoplasm; performed when the condition is confined to the globe. The type of enucleation will depend on the presence or absence of infection. </w:t>
      </w:r>
    </w:p>
    <w:p w:rsidR="00734D8E" w:rsidRPr="00734D8E" w:rsidRDefault="00734D8E" w:rsidP="00734D8E">
      <w:pPr>
        <w:pStyle w:val="Default"/>
        <w:spacing w:after="217" w:line="360" w:lineRule="auto"/>
        <w:ind w:left="851" w:hanging="1004"/>
        <w:jc w:val="center"/>
        <w:rPr>
          <w:rFonts w:ascii="Cambria" w:hAnsi="Cambria"/>
        </w:rPr>
      </w:pPr>
      <w:r w:rsidRPr="00734D8E">
        <w:rPr>
          <w:rFonts w:ascii="Cambria" w:hAnsi="Cambria"/>
          <w:noProof/>
        </w:rPr>
        <w:drawing>
          <wp:inline distT="0" distB="0" distL="0" distR="0">
            <wp:extent cx="531495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2028825"/>
                    </a:xfrm>
                    <a:prstGeom prst="rect">
                      <a:avLst/>
                    </a:prstGeom>
                    <a:noFill/>
                    <a:ln>
                      <a:noFill/>
                    </a:ln>
                  </pic:spPr>
                </pic:pic>
              </a:graphicData>
            </a:graphic>
          </wp:inline>
        </w:drawing>
      </w:r>
    </w:p>
    <w:p w:rsidR="00734D8E" w:rsidRDefault="00734D8E" w:rsidP="00734D8E">
      <w:pPr>
        <w:pStyle w:val="Default"/>
        <w:numPr>
          <w:ilvl w:val="0"/>
          <w:numId w:val="1"/>
        </w:numPr>
        <w:spacing w:after="217" w:line="360" w:lineRule="auto"/>
        <w:rPr>
          <w:rFonts w:ascii="Cambria" w:hAnsi="Cambria"/>
        </w:rPr>
      </w:pPr>
      <w:r w:rsidRPr="00734D8E">
        <w:rPr>
          <w:rFonts w:ascii="Cambria" w:hAnsi="Cambria"/>
          <w:b/>
          <w:color w:val="0070C0"/>
        </w:rPr>
        <w:t>Enucleation</w:t>
      </w:r>
      <w:r w:rsidRPr="00734D8E">
        <w:rPr>
          <w:rFonts w:ascii="Cambria" w:hAnsi="Cambria"/>
        </w:rPr>
        <w:t>–removal of the eyeball (globe) only</w:t>
      </w:r>
    </w:p>
    <w:p w:rsidR="00734D8E" w:rsidRPr="00734D8E" w:rsidRDefault="00734D8E" w:rsidP="00734D8E">
      <w:pPr>
        <w:pStyle w:val="Default"/>
        <w:spacing w:after="217" w:line="360" w:lineRule="auto"/>
        <w:ind w:hanging="284"/>
        <w:jc w:val="center"/>
        <w:rPr>
          <w:rFonts w:ascii="Cambria" w:hAnsi="Cambria"/>
        </w:rPr>
      </w:pPr>
      <w:r w:rsidRPr="00734D8E">
        <w:rPr>
          <w:rFonts w:ascii="Cambria" w:hAnsi="Cambria"/>
          <w:noProof/>
        </w:rPr>
        <w:drawing>
          <wp:inline distT="0" distB="0" distL="0" distR="0">
            <wp:extent cx="5267325" cy="2076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2076450"/>
                    </a:xfrm>
                    <a:prstGeom prst="rect">
                      <a:avLst/>
                    </a:prstGeom>
                    <a:noFill/>
                    <a:ln>
                      <a:noFill/>
                    </a:ln>
                  </pic:spPr>
                </pic:pic>
              </a:graphicData>
            </a:graphic>
          </wp:inline>
        </w:drawing>
      </w:r>
    </w:p>
    <w:p w:rsidR="00734D8E" w:rsidRPr="00734D8E" w:rsidRDefault="00734D8E" w:rsidP="00734D8E">
      <w:pPr>
        <w:pStyle w:val="Default"/>
        <w:spacing w:line="360" w:lineRule="auto"/>
        <w:rPr>
          <w:rFonts w:ascii="Cambria" w:hAnsi="Cambria"/>
        </w:rPr>
      </w:pPr>
      <w:r w:rsidRPr="00734D8E">
        <w:rPr>
          <w:rFonts w:ascii="Cambria" w:hAnsi="Cambria"/>
        </w:rPr>
        <w:t xml:space="preserve">3. </w:t>
      </w:r>
      <w:r w:rsidRPr="00734D8E">
        <w:rPr>
          <w:rFonts w:ascii="Cambria" w:hAnsi="Cambria"/>
          <w:b/>
          <w:color w:val="C45911" w:themeColor="accent2" w:themeShade="BF"/>
        </w:rPr>
        <w:t>Exenteration</w:t>
      </w:r>
      <w:r w:rsidRPr="00734D8E">
        <w:rPr>
          <w:rFonts w:ascii="Cambria" w:hAnsi="Cambria"/>
        </w:rPr>
        <w:t>–removal of the globe and o</w:t>
      </w:r>
      <w:r>
        <w:rPr>
          <w:rFonts w:ascii="Cambria" w:hAnsi="Cambria"/>
        </w:rPr>
        <w:t>r</w:t>
      </w:r>
      <w:r w:rsidRPr="00734D8E">
        <w:rPr>
          <w:rFonts w:ascii="Cambria" w:hAnsi="Cambria"/>
        </w:rPr>
        <w:t>bital</w:t>
      </w:r>
      <w:r>
        <w:rPr>
          <w:rFonts w:ascii="Cambria" w:hAnsi="Cambria"/>
        </w:rPr>
        <w:t xml:space="preserve"> </w:t>
      </w:r>
      <w:r w:rsidRPr="00734D8E">
        <w:rPr>
          <w:rFonts w:ascii="Cambria" w:hAnsi="Cambria"/>
        </w:rPr>
        <w:t>contents</w:t>
      </w:r>
    </w:p>
    <w:p w:rsidR="00734D8E" w:rsidRDefault="00734D8E" w:rsidP="00734D8E">
      <w:pPr>
        <w:ind w:hanging="1140"/>
        <w:jc w:val="center"/>
        <w:rPr>
          <w:b/>
          <w:color w:val="538135" w:themeColor="accent6" w:themeShade="BF"/>
          <w:sz w:val="32"/>
          <w:u w:val="single"/>
        </w:rPr>
      </w:pPr>
      <w:r w:rsidRPr="00734D8E">
        <w:rPr>
          <w:noProof/>
          <w:color w:val="538135" w:themeColor="accent6" w:themeShade="BF"/>
          <w:sz w:val="32"/>
        </w:rPr>
        <w:drawing>
          <wp:inline distT="0" distB="0" distL="0" distR="0">
            <wp:extent cx="5286375" cy="2076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2076450"/>
                    </a:xfrm>
                    <a:prstGeom prst="rect">
                      <a:avLst/>
                    </a:prstGeom>
                    <a:noFill/>
                    <a:ln>
                      <a:noFill/>
                    </a:ln>
                  </pic:spPr>
                </pic:pic>
              </a:graphicData>
            </a:graphic>
          </wp:inline>
        </w:drawing>
      </w:r>
    </w:p>
    <w:p w:rsidR="00E26512" w:rsidRDefault="00E26512" w:rsidP="00734D8E">
      <w:pPr>
        <w:ind w:hanging="1140"/>
        <w:jc w:val="center"/>
        <w:rPr>
          <w:b/>
          <w:color w:val="538135" w:themeColor="accent6" w:themeShade="BF"/>
          <w:sz w:val="32"/>
          <w:u w:val="single"/>
        </w:rPr>
      </w:pPr>
    </w:p>
    <w:p w:rsidR="00E26512" w:rsidRDefault="00E26512" w:rsidP="00734D8E">
      <w:pPr>
        <w:ind w:hanging="1140"/>
        <w:jc w:val="center"/>
        <w:rPr>
          <w:b/>
          <w:color w:val="7030A0"/>
          <w:sz w:val="32"/>
          <w:u w:val="single"/>
        </w:rPr>
      </w:pPr>
      <w:r>
        <w:rPr>
          <w:b/>
          <w:color w:val="7030A0"/>
          <w:sz w:val="32"/>
          <w:u w:val="single"/>
        </w:rPr>
        <w:lastRenderedPageBreak/>
        <w:t>Transpalpebral Approach</w:t>
      </w:r>
      <w:r w:rsidR="00CC378E">
        <w:rPr>
          <w:b/>
          <w:color w:val="7030A0"/>
          <w:sz w:val="32"/>
          <w:u w:val="single"/>
        </w:rPr>
        <w:t>- Exenteration</w:t>
      </w:r>
    </w:p>
    <w:p w:rsidR="00E26512" w:rsidRPr="00FC79BE" w:rsidRDefault="00E26512" w:rsidP="00E26512">
      <w:pPr>
        <w:ind w:left="0" w:firstLine="0"/>
        <w:rPr>
          <w:b/>
          <w:color w:val="00B050"/>
        </w:rPr>
      </w:pPr>
      <w:r>
        <w:rPr>
          <w:color w:val="0070C0"/>
        </w:rPr>
        <w:t xml:space="preserve">Indications: </w:t>
      </w:r>
      <w:r w:rsidR="00CC378E" w:rsidRPr="00CC378E">
        <w:t>Extrascleral extension of intraocular disease</w:t>
      </w:r>
      <w:r w:rsidR="00CC378E">
        <w:t xml:space="preserve"> and intra-orbital neoplasia. </w:t>
      </w:r>
      <w:r w:rsidR="00CC378E" w:rsidRPr="00CC378E">
        <w:t xml:space="preserve"> </w:t>
      </w:r>
      <w:r w:rsidRPr="00E26512">
        <w:t xml:space="preserve">Removes the globe, short piece of the optic nerve, lid margins, conjunctiva, third eyelid and gland of the third eyelid. </w:t>
      </w:r>
      <w:r>
        <w:t xml:space="preserve">Elected when there is an infected ocular surface or tumour that is not restricted to the globe. Reduces the risk of contaminating the orbit by confining disease within the conjunctival sac. </w:t>
      </w:r>
      <w:r w:rsidR="00CC378E" w:rsidRPr="00FC79BE">
        <w:rPr>
          <w:b/>
          <w:color w:val="00B050"/>
        </w:rPr>
        <w:t xml:space="preserve">Exenteration includes the Transpalpebral enucleation plus removal of all orbital contents possible. </w:t>
      </w:r>
    </w:p>
    <w:p w:rsidR="00E26512" w:rsidRPr="00CC378E" w:rsidRDefault="00CC378E" w:rsidP="00E26512">
      <w:pPr>
        <w:pStyle w:val="ListParagraph"/>
        <w:numPr>
          <w:ilvl w:val="0"/>
          <w:numId w:val="2"/>
        </w:numPr>
        <w:rPr>
          <w:color w:val="0070C0"/>
        </w:rPr>
      </w:pPr>
      <w:r>
        <w:t>The lid margins are sutured closed with simple continuous monofilament suture or towel clamps. This</w:t>
      </w:r>
      <w:r w:rsidR="00E26512">
        <w:t xml:space="preserve"> reduces the risk of contamination of the orbit. </w:t>
      </w:r>
    </w:p>
    <w:p w:rsidR="00CC378E" w:rsidRPr="00CC378E" w:rsidRDefault="00CC378E" w:rsidP="00E26512">
      <w:pPr>
        <w:pStyle w:val="ListParagraph"/>
        <w:numPr>
          <w:ilvl w:val="0"/>
          <w:numId w:val="2"/>
        </w:numPr>
        <w:rPr>
          <w:color w:val="0070C0"/>
        </w:rPr>
      </w:pPr>
      <w:r>
        <w:t xml:space="preserve">Incise the skin approximately 5mm from the lid margin in an elliptical shape, subcutaneous tissues, and orbicularis oculi down to the conjunctiva (but not through it). Ensuring to incorporate both the lateral and the medial canthus and to avoid the agularis oculi vein at the medial canthus. Be careful to leave enough skin </w:t>
      </w:r>
      <w:r w:rsidR="00FC79BE">
        <w:t xml:space="preserve">for closure after the globe is removed. Be sure to remove the third eyelid and gland. </w:t>
      </w:r>
    </w:p>
    <w:p w:rsidR="00CC378E" w:rsidRPr="00E26512" w:rsidRDefault="00CC378E" w:rsidP="00E26512">
      <w:pPr>
        <w:pStyle w:val="ListParagraph"/>
        <w:numPr>
          <w:ilvl w:val="0"/>
          <w:numId w:val="2"/>
        </w:numPr>
        <w:rPr>
          <w:color w:val="0070C0"/>
        </w:rPr>
      </w:pPr>
      <w:r>
        <w:t xml:space="preserve">Dissect all the way around the globe until you are past the limbus (where the conjunctiva, and potential contaminants end). </w:t>
      </w:r>
    </w:p>
    <w:p w:rsidR="00E26512" w:rsidRPr="00E26512" w:rsidRDefault="00E26512" w:rsidP="00E26512">
      <w:pPr>
        <w:pStyle w:val="ListParagraph"/>
        <w:numPr>
          <w:ilvl w:val="0"/>
          <w:numId w:val="2"/>
        </w:numPr>
        <w:rPr>
          <w:color w:val="0070C0"/>
        </w:rPr>
      </w:pPr>
      <w:r>
        <w:t>Once the limbus is reached, isolate the muscles and transect with scissors.</w:t>
      </w:r>
      <w:r w:rsidR="00CC378E">
        <w:t xml:space="preserve"> Care show be taken to not to put too much traction on the globe to prevent oculo- cardiac reflex and potential binging of the fellow eye. </w:t>
      </w:r>
    </w:p>
    <w:p w:rsidR="00E26512" w:rsidRPr="00E26512" w:rsidRDefault="00E26512" w:rsidP="00E26512">
      <w:pPr>
        <w:pStyle w:val="ListParagraph"/>
        <w:numPr>
          <w:ilvl w:val="0"/>
          <w:numId w:val="2"/>
        </w:numPr>
        <w:rPr>
          <w:color w:val="0070C0"/>
        </w:rPr>
      </w:pPr>
      <w:r>
        <w:t>Clamp the optic nerve with a curved forcep</w:t>
      </w:r>
      <w:r w:rsidR="00CC378E">
        <w:t>.</w:t>
      </w:r>
    </w:p>
    <w:p w:rsidR="00E26512" w:rsidRPr="00CC378E" w:rsidRDefault="00CC378E" w:rsidP="00E26512">
      <w:pPr>
        <w:pStyle w:val="ListParagraph"/>
        <w:numPr>
          <w:ilvl w:val="0"/>
          <w:numId w:val="2"/>
        </w:numPr>
        <w:rPr>
          <w:color w:val="0070C0"/>
        </w:rPr>
      </w:pPr>
      <w:r>
        <w:t>Transect where ligation is optional.</w:t>
      </w:r>
    </w:p>
    <w:p w:rsidR="00CC378E" w:rsidRPr="00CC378E" w:rsidRDefault="00CC378E" w:rsidP="00E26512">
      <w:pPr>
        <w:pStyle w:val="ListParagraph"/>
        <w:numPr>
          <w:ilvl w:val="0"/>
          <w:numId w:val="2"/>
        </w:numPr>
        <w:rPr>
          <w:color w:val="0070C0"/>
        </w:rPr>
      </w:pPr>
      <w:r>
        <w:t>Pack orbit for 5 mins- then ligate any bleeders before closing.</w:t>
      </w:r>
    </w:p>
    <w:p w:rsidR="00CC378E" w:rsidRPr="00FC79BE" w:rsidRDefault="00FC79BE" w:rsidP="00E26512">
      <w:pPr>
        <w:pStyle w:val="ListParagraph"/>
        <w:numPr>
          <w:ilvl w:val="0"/>
          <w:numId w:val="2"/>
        </w:numPr>
        <w:rPr>
          <w:color w:val="0070C0"/>
        </w:rPr>
      </w:pPr>
      <w:r w:rsidRPr="009F132F">
        <w:rPr>
          <w:noProof/>
          <w:szCs w:val="24"/>
        </w:rPr>
        <w:drawing>
          <wp:anchor distT="0" distB="0" distL="114300" distR="114300" simplePos="0" relativeHeight="251659264" behindDoc="1" locked="0" layoutInCell="1" allowOverlap="1" wp14:anchorId="2B3446A2" wp14:editId="0F8685ED">
            <wp:simplePos x="0" y="0"/>
            <wp:positionH relativeFrom="margin">
              <wp:posOffset>-38100</wp:posOffset>
            </wp:positionH>
            <wp:positionV relativeFrom="paragraph">
              <wp:posOffset>280035</wp:posOffset>
            </wp:positionV>
            <wp:extent cx="3162300" cy="3562350"/>
            <wp:effectExtent l="0" t="0" r="0" b="0"/>
            <wp:wrapTight wrapText="bothSides">
              <wp:wrapPolygon edited="0">
                <wp:start x="0" y="0"/>
                <wp:lineTo x="0" y="21484"/>
                <wp:lineTo x="21470" y="21484"/>
                <wp:lineTo x="214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278" r="21528" b="2668"/>
                    <a:stretch/>
                  </pic:blipFill>
                  <pic:spPr bwMode="auto">
                    <a:xfrm>
                      <a:off x="0" y="0"/>
                      <a:ext cx="3162300" cy="356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78E">
        <w:t xml:space="preserve">Palpate the remaining orbital tissue and orbital bone for additional evidence of neoplasia. </w:t>
      </w:r>
    </w:p>
    <w:p w:rsidR="00734D8E" w:rsidRPr="00734D8E" w:rsidRDefault="00FC79BE" w:rsidP="00FC79BE">
      <w:pPr>
        <w:pStyle w:val="ListParagraph"/>
        <w:ind w:left="644" w:firstLine="0"/>
        <w:jc w:val="center"/>
        <w:rPr>
          <w:b/>
          <w:color w:val="538135" w:themeColor="accent6" w:themeShade="BF"/>
          <w:sz w:val="32"/>
          <w:u w:val="single"/>
        </w:rPr>
      </w:pPr>
      <w:r w:rsidRPr="00FC79BE">
        <w:rPr>
          <w:noProof/>
          <w:color w:val="538135" w:themeColor="accent6" w:themeShade="BF"/>
          <w:sz w:val="32"/>
        </w:rPr>
        <w:drawing>
          <wp:inline distT="0" distB="0" distL="0" distR="0" wp14:anchorId="406A11E8" wp14:editId="403DBC6F">
            <wp:extent cx="3418840" cy="3524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0177" cy="3556553"/>
                    </a:xfrm>
                    <a:prstGeom prst="rect">
                      <a:avLst/>
                    </a:prstGeom>
                    <a:noFill/>
                    <a:ln>
                      <a:noFill/>
                    </a:ln>
                  </pic:spPr>
                </pic:pic>
              </a:graphicData>
            </a:graphic>
          </wp:inline>
        </w:drawing>
      </w:r>
      <w:bookmarkStart w:id="0" w:name="_GoBack"/>
      <w:bookmarkEnd w:id="0"/>
    </w:p>
    <w:sectPr w:rsidR="00734D8E" w:rsidRPr="00734D8E" w:rsidSect="00264E0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F45"/>
    <w:multiLevelType w:val="hybridMultilevel"/>
    <w:tmpl w:val="DC2E748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3415462C"/>
    <w:multiLevelType w:val="hybridMultilevel"/>
    <w:tmpl w:val="ECC04ADC"/>
    <w:lvl w:ilvl="0" w:tplc="48FE8D4A">
      <w:start w:val="1"/>
      <w:numFmt w:val="bullet"/>
      <w:lvlText w:val=""/>
      <w:lvlJc w:val="left"/>
      <w:pPr>
        <w:ind w:left="644" w:hanging="360"/>
      </w:pPr>
      <w:rPr>
        <w:rFonts w:ascii="Wingdings" w:hAnsi="Wingdings" w:hint="default"/>
        <w:color w:val="auto"/>
      </w:rPr>
    </w:lvl>
    <w:lvl w:ilvl="1" w:tplc="2C090003" w:tentative="1">
      <w:start w:val="1"/>
      <w:numFmt w:val="bullet"/>
      <w:lvlText w:val="o"/>
      <w:lvlJc w:val="left"/>
      <w:pPr>
        <w:ind w:left="1364" w:hanging="360"/>
      </w:pPr>
      <w:rPr>
        <w:rFonts w:ascii="Courier New" w:hAnsi="Courier New" w:cs="Courier New" w:hint="default"/>
      </w:rPr>
    </w:lvl>
    <w:lvl w:ilvl="2" w:tplc="2C090005" w:tentative="1">
      <w:start w:val="1"/>
      <w:numFmt w:val="bullet"/>
      <w:lvlText w:val=""/>
      <w:lvlJc w:val="left"/>
      <w:pPr>
        <w:ind w:left="2084" w:hanging="360"/>
      </w:pPr>
      <w:rPr>
        <w:rFonts w:ascii="Wingdings" w:hAnsi="Wingdings" w:hint="default"/>
      </w:rPr>
    </w:lvl>
    <w:lvl w:ilvl="3" w:tplc="2C090001" w:tentative="1">
      <w:start w:val="1"/>
      <w:numFmt w:val="bullet"/>
      <w:lvlText w:val=""/>
      <w:lvlJc w:val="left"/>
      <w:pPr>
        <w:ind w:left="2804" w:hanging="360"/>
      </w:pPr>
      <w:rPr>
        <w:rFonts w:ascii="Symbol" w:hAnsi="Symbol" w:hint="default"/>
      </w:rPr>
    </w:lvl>
    <w:lvl w:ilvl="4" w:tplc="2C090003" w:tentative="1">
      <w:start w:val="1"/>
      <w:numFmt w:val="bullet"/>
      <w:lvlText w:val="o"/>
      <w:lvlJc w:val="left"/>
      <w:pPr>
        <w:ind w:left="3524" w:hanging="360"/>
      </w:pPr>
      <w:rPr>
        <w:rFonts w:ascii="Courier New" w:hAnsi="Courier New" w:cs="Courier New" w:hint="default"/>
      </w:rPr>
    </w:lvl>
    <w:lvl w:ilvl="5" w:tplc="2C090005" w:tentative="1">
      <w:start w:val="1"/>
      <w:numFmt w:val="bullet"/>
      <w:lvlText w:val=""/>
      <w:lvlJc w:val="left"/>
      <w:pPr>
        <w:ind w:left="4244" w:hanging="360"/>
      </w:pPr>
      <w:rPr>
        <w:rFonts w:ascii="Wingdings" w:hAnsi="Wingdings" w:hint="default"/>
      </w:rPr>
    </w:lvl>
    <w:lvl w:ilvl="6" w:tplc="2C090001" w:tentative="1">
      <w:start w:val="1"/>
      <w:numFmt w:val="bullet"/>
      <w:lvlText w:val=""/>
      <w:lvlJc w:val="left"/>
      <w:pPr>
        <w:ind w:left="4964" w:hanging="360"/>
      </w:pPr>
      <w:rPr>
        <w:rFonts w:ascii="Symbol" w:hAnsi="Symbol" w:hint="default"/>
      </w:rPr>
    </w:lvl>
    <w:lvl w:ilvl="7" w:tplc="2C090003" w:tentative="1">
      <w:start w:val="1"/>
      <w:numFmt w:val="bullet"/>
      <w:lvlText w:val="o"/>
      <w:lvlJc w:val="left"/>
      <w:pPr>
        <w:ind w:left="5684" w:hanging="360"/>
      </w:pPr>
      <w:rPr>
        <w:rFonts w:ascii="Courier New" w:hAnsi="Courier New" w:cs="Courier New" w:hint="default"/>
      </w:rPr>
    </w:lvl>
    <w:lvl w:ilvl="8" w:tplc="2C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8E"/>
    <w:rsid w:val="00264E02"/>
    <w:rsid w:val="00734D8E"/>
    <w:rsid w:val="00A052AC"/>
    <w:rsid w:val="00CC378E"/>
    <w:rsid w:val="00E26512"/>
    <w:rsid w:val="00FC79B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0,#9fc"/>
    </o:shapedefaults>
    <o:shapelayout v:ext="edit">
      <o:idmap v:ext="edit" data="1"/>
    </o:shapelayout>
  </w:shapeDefaults>
  <w:decimalSymbol w:val="."/>
  <w:listSeparator w:val=","/>
  <w14:docId w14:val="785A9178"/>
  <w15:chartTrackingRefBased/>
  <w15:docId w15:val="{4828AB6E-29C7-441A-9078-324A6D49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TT" w:eastAsia="en-US" w:bidi="ar-SA"/>
      </w:rPr>
    </w:rPrDefault>
    <w:pPrDefault>
      <w:pPr>
        <w:spacing w:after="160" w:line="360"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4D8E"/>
    <w:pPr>
      <w:autoSpaceDE w:val="0"/>
      <w:autoSpaceDN w:val="0"/>
      <w:adjustRightInd w:val="0"/>
      <w:spacing w:after="0" w:line="240" w:lineRule="auto"/>
      <w:ind w:left="0" w:firstLine="0"/>
      <w:jc w:val="left"/>
    </w:pPr>
    <w:rPr>
      <w:rFonts w:ascii="Calibri" w:hAnsi="Calibri" w:cs="Calibri"/>
      <w:color w:val="000000"/>
      <w:szCs w:val="24"/>
    </w:rPr>
  </w:style>
  <w:style w:type="paragraph" w:styleId="ListParagraph">
    <w:name w:val="List Paragraph"/>
    <w:basedOn w:val="Normal"/>
    <w:uiPriority w:val="34"/>
    <w:qFormat/>
    <w:rsid w:val="00E2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2018-11-24T13:17:00Z</dcterms:created>
  <dcterms:modified xsi:type="dcterms:W3CDTF">2018-11-24T13:59:00Z</dcterms:modified>
</cp:coreProperties>
</file>