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5E5E5">
    <v:background id="_x0000_s1025" o:bwmode="white" fillcolor="#e5e5e5">
      <v:fill r:id="rId3" o:title="texture 11" type="tile"/>
    </v:background>
  </w:background>
  <w:body>
    <w:p w14:paraId="0DE7E657" w14:textId="75D24A66" w:rsidR="00D61D51" w:rsidRPr="00A6189E" w:rsidRDefault="00D61D51">
      <w:pPr>
        <w:rPr>
          <w:rFonts w:ascii="Eras Bold ITC" w:hAnsi="Eras Bold ITC"/>
          <w:b/>
          <w:color w:val="92D05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6189E">
        <w:rPr>
          <w:rFonts w:ascii="Eras Bold ITC" w:hAnsi="Eras Bold ITC"/>
          <w:b/>
          <w:color w:val="92D05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Indications for annular lig</w:t>
      </w:r>
      <w:r w:rsidR="00AD0FF2" w:rsidRPr="00A6189E">
        <w:rPr>
          <w:rFonts w:ascii="Eras Bold ITC" w:hAnsi="Eras Bold ITC"/>
          <w:b/>
          <w:color w:val="92D05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ament </w:t>
      </w:r>
      <w:proofErr w:type="spellStart"/>
      <w:r w:rsidR="00AD0FF2" w:rsidRPr="00A6189E">
        <w:rPr>
          <w:rFonts w:ascii="Eras Bold ITC" w:hAnsi="Eras Bold ITC"/>
          <w:b/>
          <w:color w:val="92D05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desmoto</w:t>
      </w:r>
      <w:r w:rsidR="00A6189E" w:rsidRPr="00A6189E">
        <w:rPr>
          <w:rFonts w:ascii="Eras Bold ITC" w:hAnsi="Eras Bold ITC"/>
          <w:b/>
          <w:color w:val="92D05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</w:t>
      </w:r>
      <w:r w:rsidR="00AD0FF2" w:rsidRPr="00A6189E">
        <w:rPr>
          <w:rFonts w:ascii="Eras Bold ITC" w:hAnsi="Eras Bold ITC"/>
          <w:b/>
          <w:color w:val="92D05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y</w:t>
      </w:r>
      <w:proofErr w:type="spellEnd"/>
      <w:r w:rsidR="00AD0FF2" w:rsidRPr="00A6189E">
        <w:rPr>
          <w:rFonts w:ascii="Eras Bold ITC" w:hAnsi="Eras Bold ITC"/>
          <w:b/>
          <w:color w:val="92D05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147C5B6B" w14:textId="77777777" w:rsidR="00D61D51" w:rsidRDefault="00D61D51"/>
    <w:p w14:paraId="4511DDB1" w14:textId="349CC443" w:rsidR="00A6189E" w:rsidRDefault="00D61D51" w:rsidP="00A6189E">
      <w:pPr>
        <w:pStyle w:val="ListParagraph"/>
        <w:numPr>
          <w:ilvl w:val="0"/>
          <w:numId w:val="1"/>
        </w:numPr>
      </w:pPr>
      <w:r>
        <w:t>This surgery is indicated for the treatment of constriction of or by the palmar or plantar annular ligament, tendinitis in the digital sheath</w:t>
      </w:r>
      <w:r w:rsidR="00A6189E">
        <w:t xml:space="preserve"> or </w:t>
      </w:r>
      <w:r>
        <w:t>posttraumatic adhesions of the digital sheath.</w:t>
      </w:r>
    </w:p>
    <w:p w14:paraId="0EB6A6DD" w14:textId="5E080A27" w:rsidR="00A6189E" w:rsidRDefault="00D61D51">
      <w:r>
        <w:t xml:space="preserve"> The problem is a</w:t>
      </w:r>
      <w:r w:rsidR="00671E40">
        <w:t>ss</w:t>
      </w:r>
      <w:r>
        <w:t xml:space="preserve">ociated with injury or </w:t>
      </w:r>
      <w:r w:rsidR="00A6189E">
        <w:t>infection,</w:t>
      </w:r>
      <w:r>
        <w:t xml:space="preserve"> and the condition may develop in several ways</w:t>
      </w:r>
      <w:r w:rsidR="00A6189E">
        <w:t>;</w:t>
      </w:r>
    </w:p>
    <w:p w14:paraId="7155CEFF" w14:textId="2DCDE3EC" w:rsidR="00A6189E" w:rsidRDefault="00A6189E" w:rsidP="00A6189E">
      <w:pPr>
        <w:pStyle w:val="ListParagraph"/>
        <w:numPr>
          <w:ilvl w:val="0"/>
          <w:numId w:val="3"/>
        </w:numPr>
      </w:pPr>
      <w:r>
        <w:t>D</w:t>
      </w:r>
      <w:r w:rsidR="00D61D51">
        <w:t xml:space="preserve">irect injury to the annular ligament with subsequent inflammation may cause fibrosis, scarring and a primary constriction of the </w:t>
      </w:r>
      <w:r>
        <w:t>ligament.</w:t>
      </w:r>
    </w:p>
    <w:p w14:paraId="4EAD96BF" w14:textId="77777777" w:rsidR="00A6189E" w:rsidRDefault="00A6189E" w:rsidP="00A6189E">
      <w:pPr>
        <w:pStyle w:val="ListParagraph"/>
        <w:ind w:left="765"/>
      </w:pPr>
    </w:p>
    <w:p w14:paraId="38ED5BF2" w14:textId="747CF832" w:rsidR="00A6189E" w:rsidRDefault="00D61D51" w:rsidP="00A6189E">
      <w:pPr>
        <w:pStyle w:val="ListParagraph"/>
        <w:numPr>
          <w:ilvl w:val="0"/>
          <w:numId w:val="3"/>
        </w:numPr>
      </w:pPr>
      <w:r>
        <w:t xml:space="preserve"> the constricted </w:t>
      </w:r>
      <w:r w:rsidR="00A6189E">
        <w:t>ligament,</w:t>
      </w:r>
      <w:r>
        <w:t xml:space="preserve"> in turn exerts pressure on the superficial and /or deep flexor tendon with subsequent tendinitis (bowed tendon) can have the same result because it is associated with swelling of the SDF tendon against the inelastic annular ligament. </w:t>
      </w:r>
    </w:p>
    <w:p w14:paraId="3E51DC11" w14:textId="77777777" w:rsidR="00A6189E" w:rsidRDefault="00A6189E" w:rsidP="00A6189E">
      <w:pPr>
        <w:pStyle w:val="ListParagraph"/>
      </w:pPr>
    </w:p>
    <w:p w14:paraId="794A9C0F" w14:textId="4F394B67" w:rsidR="00A6189E" w:rsidRDefault="00A6189E" w:rsidP="00A6189E">
      <w:pPr>
        <w:pStyle w:val="ListParagraph"/>
        <w:ind w:left="765"/>
      </w:pPr>
    </w:p>
    <w:p w14:paraId="01CBDA1D" w14:textId="640E972A" w:rsidR="00D61D51" w:rsidRDefault="00D61D51" w:rsidP="00A6189E">
      <w:pPr>
        <w:pStyle w:val="ListParagraph"/>
        <w:numPr>
          <w:ilvl w:val="0"/>
          <w:numId w:val="3"/>
        </w:numPr>
      </w:pPr>
      <w:r>
        <w:t>In some situations, both types of injury may be involved.</w:t>
      </w:r>
    </w:p>
    <w:p w14:paraId="1ECA23EA" w14:textId="77777777" w:rsidR="00A6189E" w:rsidRDefault="00A6189E" w:rsidP="00A6189E">
      <w:pPr>
        <w:pStyle w:val="ListParagraph"/>
        <w:ind w:left="765"/>
      </w:pPr>
    </w:p>
    <w:p w14:paraId="29BFD03F" w14:textId="4BD092F0" w:rsidR="00A6189E" w:rsidRDefault="00D61D51" w:rsidP="00A6189E">
      <w:pPr>
        <w:pStyle w:val="ListParagraph"/>
        <w:numPr>
          <w:ilvl w:val="0"/>
          <w:numId w:val="3"/>
        </w:numPr>
      </w:pPr>
      <w:r>
        <w:t xml:space="preserve">The restriction of free tendon movement and tenosynovitis result in pain and persistent </w:t>
      </w:r>
      <w:r w:rsidR="00671E40">
        <w:t>lameness.</w:t>
      </w:r>
      <w:r>
        <w:t xml:space="preserve"> prolonged permanent damage to the tendon may </w:t>
      </w:r>
      <w:r w:rsidR="00671E40">
        <w:t xml:space="preserve">result. </w:t>
      </w:r>
    </w:p>
    <w:p w14:paraId="294B8503" w14:textId="77777777" w:rsidR="00A6189E" w:rsidRDefault="00A6189E" w:rsidP="00A6189E">
      <w:pPr>
        <w:pStyle w:val="ListParagraph"/>
      </w:pPr>
    </w:p>
    <w:p w14:paraId="1BA1CD3E" w14:textId="31D6E8BD" w:rsidR="00A6189E" w:rsidRDefault="00A6189E" w:rsidP="00A6189E">
      <w:pPr>
        <w:pStyle w:val="ListParagraph"/>
        <w:ind w:left="765"/>
      </w:pPr>
      <w:r>
        <w:t xml:space="preserve">                  </w:t>
      </w:r>
      <w:r w:rsidRPr="00A6189E">
        <w:drawing>
          <wp:inline distT="0" distB="0" distL="0" distR="0" wp14:anchorId="57E3E12D" wp14:editId="0620C29E">
            <wp:extent cx="3788410" cy="2535960"/>
            <wp:effectExtent l="0" t="0" r="2540" b="0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485" cy="25380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CAB5D20" w14:textId="77777777" w:rsidR="00A6189E" w:rsidRDefault="00A6189E" w:rsidP="00A6189E">
      <w:pPr>
        <w:pStyle w:val="ListParagraph"/>
        <w:ind w:left="765"/>
      </w:pPr>
    </w:p>
    <w:p w14:paraId="53683A43" w14:textId="5B5020E5" w:rsidR="00A6189E" w:rsidRDefault="00671E40" w:rsidP="00A6189E">
      <w:pPr>
        <w:pStyle w:val="ListParagraph"/>
        <w:numPr>
          <w:ilvl w:val="0"/>
          <w:numId w:val="3"/>
        </w:numPr>
      </w:pPr>
      <w:r>
        <w:t>The</w:t>
      </w:r>
      <w:r w:rsidR="00D61D51">
        <w:t xml:space="preserve"> syndrome can also arise as a primary chronic digital sheath synovitis of unknown cause, with excess production of synovial fluid and </w:t>
      </w:r>
      <w:r>
        <w:t>fibrous</w:t>
      </w:r>
      <w:r w:rsidR="00D61D51">
        <w:t xml:space="preserve"> tissue deposition at the pro</w:t>
      </w:r>
      <w:r w:rsidR="00AD0FF2">
        <w:t>ximal reflection of the synovial sheath onto the flexor tendons</w:t>
      </w:r>
    </w:p>
    <w:p w14:paraId="2C0AE183" w14:textId="77777777" w:rsidR="00A6189E" w:rsidRDefault="00A6189E" w:rsidP="00A6189E">
      <w:pPr>
        <w:pStyle w:val="ListParagraph"/>
        <w:ind w:left="765"/>
      </w:pPr>
    </w:p>
    <w:p w14:paraId="047B2D88" w14:textId="089209BB" w:rsidR="00D61D51" w:rsidRDefault="00AD0FF2" w:rsidP="00A6189E">
      <w:pPr>
        <w:pStyle w:val="ListParagraph"/>
        <w:numPr>
          <w:ilvl w:val="0"/>
          <w:numId w:val="3"/>
        </w:numPr>
      </w:pPr>
      <w:r>
        <w:t xml:space="preserve"> </w:t>
      </w:r>
      <w:r w:rsidR="00A6189E">
        <w:t>It has been</w:t>
      </w:r>
      <w:r>
        <w:t xml:space="preserve"> considered this pathogenesis to be the </w:t>
      </w:r>
      <w:r w:rsidR="00671E40">
        <w:t>m</w:t>
      </w:r>
      <w:r>
        <w:t xml:space="preserve">ost common (the cause of the synovitis remains </w:t>
      </w:r>
      <w:r w:rsidR="00A6189E">
        <w:t>obscure)</w:t>
      </w:r>
      <w:r>
        <w:t xml:space="preserve"> fluid distention of the digital flexor tendon sheath above and below the constricted annular ligament causes the characteristic “notched” appearance on the palmar or plantar aspect of the fetlock </w:t>
      </w:r>
    </w:p>
    <w:p w14:paraId="1ABD5A47" w14:textId="37F2CE39" w:rsidR="00A6189E" w:rsidRDefault="00A6189E" w:rsidP="00A6189E">
      <w:bookmarkStart w:id="0" w:name="_GoBack"/>
      <w:bookmarkEnd w:id="0"/>
    </w:p>
    <w:p w14:paraId="78DE39CB" w14:textId="77789DFD" w:rsidR="00A6189E" w:rsidRDefault="00A6189E" w:rsidP="00A6189E">
      <w:r>
        <w:lastRenderedPageBreak/>
        <w:t xml:space="preserve">                                                           </w:t>
      </w:r>
      <w:r w:rsidRPr="00A6189E">
        <w:drawing>
          <wp:inline distT="0" distB="0" distL="0" distR="0" wp14:anchorId="12049948" wp14:editId="64CFA6E5">
            <wp:extent cx="2886075" cy="40253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8867" cy="40571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A618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36E6A"/>
    <w:multiLevelType w:val="hybridMultilevel"/>
    <w:tmpl w:val="29DA1D52"/>
    <w:lvl w:ilvl="0" w:tplc="2C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2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19706A0"/>
    <w:multiLevelType w:val="hybridMultilevel"/>
    <w:tmpl w:val="CD56D2E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D23A4"/>
    <w:multiLevelType w:val="hybridMultilevel"/>
    <w:tmpl w:val="07E63BA4"/>
    <w:lvl w:ilvl="0" w:tplc="4DA65F78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  <w:color w:val="auto"/>
      </w:rPr>
    </w:lvl>
    <w:lvl w:ilvl="1" w:tplc="2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51"/>
    <w:rsid w:val="00671E40"/>
    <w:rsid w:val="006E2DBA"/>
    <w:rsid w:val="00A6189E"/>
    <w:rsid w:val="00AD0FF2"/>
    <w:rsid w:val="00BE6E00"/>
    <w:rsid w:val="00D6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A8B46"/>
  <w15:chartTrackingRefBased/>
  <w15:docId w15:val="{B8A6E5AC-6678-43DC-BED9-89516F4A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3</cp:revision>
  <dcterms:created xsi:type="dcterms:W3CDTF">2018-10-19T20:49:00Z</dcterms:created>
  <dcterms:modified xsi:type="dcterms:W3CDTF">2018-10-20T21:05:00Z</dcterms:modified>
</cp:coreProperties>
</file>