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28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96"/>
        <w:gridCol w:w="1995"/>
        <w:gridCol w:w="2565"/>
        <w:gridCol w:w="1075"/>
        <w:gridCol w:w="3951"/>
        <w:gridCol w:w="1030"/>
        <w:gridCol w:w="1030"/>
      </w:tblGrid>
      <w:tr w:rsidR="008A792A" w14:paraId="74084451" w14:textId="77777777">
        <w:trPr>
          <w:trHeight w:val="1493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1BAA" w14:textId="77777777" w:rsidR="008A792A" w:rsidRDefault="001D3041">
            <w:pPr>
              <w:pStyle w:val="BodyA"/>
            </w:pPr>
            <w:r>
              <w:rPr>
                <w:b/>
                <w:bCs/>
              </w:rPr>
              <w:t>Drug</w:t>
            </w: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3481" w14:textId="77777777" w:rsidR="008A792A" w:rsidRDefault="001D3041">
            <w:pPr>
              <w:pStyle w:val="BodyA"/>
            </w:pPr>
            <w:r>
              <w:rPr>
                <w:b/>
                <w:bCs/>
              </w:rPr>
              <w:t>Indication/Purpose</w:t>
            </w: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1A7E" w14:textId="77777777" w:rsidR="008A792A" w:rsidRDefault="001D3041">
            <w:pPr>
              <w:pStyle w:val="BodyA"/>
            </w:pPr>
            <w:r>
              <w:rPr>
                <w:b/>
                <w:bCs/>
              </w:rPr>
              <w:t>Contraindications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479D" w14:textId="77777777" w:rsidR="008A792A" w:rsidRDefault="001D3041">
            <w:pPr>
              <w:pStyle w:val="BodyA"/>
            </w:pPr>
            <w:r>
              <w:rPr>
                <w:b/>
                <w:bCs/>
              </w:rPr>
              <w:t>Route of administration</w:t>
            </w: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24FC" w14:textId="77777777" w:rsidR="008A792A" w:rsidRDefault="001D3041">
            <w:pPr>
              <w:pStyle w:val="BodyA"/>
            </w:pPr>
            <w:r>
              <w:rPr>
                <w:b/>
                <w:bCs/>
              </w:rPr>
              <w:t>Calculation for dose &amp; toxic dose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8DF2" w14:textId="77777777" w:rsidR="008A792A" w:rsidRDefault="001D3041">
            <w:pPr>
              <w:pStyle w:val="BodyA"/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51CF" w14:textId="77777777" w:rsidR="008A792A" w:rsidRDefault="001D3041">
            <w:r>
              <w:rPr>
                <w:rFonts w:ascii="Calibri" w:eastAsia="Calibri" w:hAnsi="Calibri" w:cs="Calibri"/>
                <w:color w:val="000000"/>
                <w:u w:color="000000"/>
              </w:rPr>
              <w:t>WDT</w:t>
            </w:r>
          </w:p>
        </w:tc>
      </w:tr>
      <w:tr w:rsidR="008A792A" w14:paraId="2B8B2465" w14:textId="77777777">
        <w:trPr>
          <w:trHeight w:val="9250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DA9F" w14:textId="77777777" w:rsidR="008A792A" w:rsidRDefault="001D3041">
            <w:pPr>
              <w:pStyle w:val="BodyA"/>
            </w:pPr>
            <w:r>
              <w:lastRenderedPageBreak/>
              <w:t xml:space="preserve">Xylazine (active ingredient - xylazine hydrochloride. Other names - rompun) </w:t>
            </w: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0810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Used as a sedative and for analgesia, and used as pre </w:t>
            </w:r>
            <w:r>
              <w:rPr>
                <w:rFonts w:ascii="Calibri" w:eastAsia="Calibri" w:hAnsi="Calibri" w:cs="Calibri"/>
              </w:rPr>
              <w:t>anesthetic/pre medication before administration of local/general anaesthetic.</w:t>
            </w: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22DB" w14:textId="77777777" w:rsidR="008A792A" w:rsidRDefault="001D3041">
            <w:pPr>
              <w:pStyle w:val="Bod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Cattle are very sensitive to xylazine </w:t>
            </w:r>
          </w:p>
          <w:p w14:paraId="6B850B9D" w14:textId="77777777" w:rsidR="008A792A" w:rsidRDefault="001D3041">
            <w:pPr>
              <w:pStyle w:val="Bod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Contraindicated in animals who have been given epinephrine</w:t>
            </w:r>
          </w:p>
          <w:p w14:paraId="6A1B80FE" w14:textId="77777777" w:rsidR="008A792A" w:rsidRDefault="001D3041">
            <w:pPr>
              <w:pStyle w:val="Bod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Contraindicated in animals with active ventricular arrhythmias, hypotension, uri</w:t>
            </w:r>
            <w:r>
              <w:rPr>
                <w:rFonts w:ascii="Calibri" w:eastAsia="Calibri" w:hAnsi="Calibri" w:cs="Calibri"/>
              </w:rPr>
              <w:t>nary tract obstructions, shock, and hepatic, cardiac and respiratory dysfunction</w:t>
            </w:r>
          </w:p>
          <w:p w14:paraId="3C306CF6" w14:textId="77777777" w:rsidR="008A792A" w:rsidRDefault="001D3041">
            <w:pPr>
              <w:pStyle w:val="Bod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Should not be given to pregnant animals in their 3rd trimester - can cause uterine contraction</w:t>
            </w:r>
          </w:p>
          <w:p w14:paraId="28D0E74B" w14:textId="77777777" w:rsidR="008A792A" w:rsidRDefault="001D3041">
            <w:pPr>
              <w:pStyle w:val="Bod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and lead to early delivery </w:t>
            </w:r>
          </w:p>
          <w:p w14:paraId="7145FE7C" w14:textId="77777777" w:rsidR="008A792A" w:rsidRDefault="001D3041">
            <w:pPr>
              <w:pStyle w:val="Body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use in patients with oesophageal obstruction</w:t>
            </w:r>
            <w:r>
              <w:rPr>
                <w:rFonts w:ascii="Calibri" w:eastAsia="Calibri" w:hAnsi="Calibri" w:cs="Calibri"/>
              </w:rPr>
              <w:t>, torsion of the stomach - drug appear to worsen effects of the obstruction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DDE0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IM</w:t>
            </w: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938C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0.05 mg/kg </w:t>
            </w:r>
          </w:p>
          <w:p w14:paraId="60052C09" w14:textId="77777777" w:rsidR="008A792A" w:rsidRDefault="008A792A">
            <w:pPr>
              <w:pStyle w:val="Body"/>
            </w:pPr>
          </w:p>
          <w:p w14:paraId="41774EBB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CALF 1: [(0.05 mg/kg X 250 kg)/20 mg/ml)] = 0.625 ml (given - 0.6 ml)</w:t>
            </w:r>
          </w:p>
          <w:p w14:paraId="19142045" w14:textId="77777777" w:rsidR="008A792A" w:rsidRDefault="008A792A">
            <w:pPr>
              <w:pStyle w:val="Body"/>
            </w:pPr>
          </w:p>
          <w:p w14:paraId="3426C3B8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reversal Tolazoline doses:</w:t>
            </w:r>
          </w:p>
          <w:p w14:paraId="4E2F3CB7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2x: [(0.1 X 250)/100] = 0.25 ml</w:t>
            </w:r>
          </w:p>
          <w:p w14:paraId="05390E47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4x: [(0.2 X 250)/100] = 0.5 ml</w:t>
            </w:r>
          </w:p>
          <w:p w14:paraId="78E56C71" w14:textId="77777777" w:rsidR="008A792A" w:rsidRDefault="008A792A">
            <w:pPr>
              <w:pStyle w:val="Body"/>
            </w:pPr>
          </w:p>
          <w:p w14:paraId="147E232A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</w:rPr>
              <w:t xml:space="preserve">LF 2: </w:t>
            </w:r>
          </w:p>
          <w:p w14:paraId="4617BC54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[(0.05 mg/kg X 165 kg)/20 mg/ml] = 0.412 ml  </w:t>
            </w:r>
          </w:p>
          <w:p w14:paraId="17A0B397" w14:textId="77777777" w:rsidR="008A792A" w:rsidRDefault="008A792A">
            <w:pPr>
              <w:pStyle w:val="Body"/>
            </w:pPr>
          </w:p>
          <w:p w14:paraId="0B166FDD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reversal Tolazoline doses:</w:t>
            </w:r>
          </w:p>
          <w:p w14:paraId="76CE3A1D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2x: [(0.1 X 165)/100] = 0.165 ml</w:t>
            </w:r>
          </w:p>
          <w:p w14:paraId="609859A7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4x: [(0.2 X 165)/100] = 0.33 ml 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43E5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2%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D7511" w14:textId="77777777" w:rsidR="008A792A" w:rsidRDefault="001D3041">
            <w:r>
              <w:rPr>
                <w:rFonts w:cs="Arial Unicode MS"/>
                <w:color w:val="000000"/>
                <w:u w:color="000000"/>
              </w:rPr>
              <w:t xml:space="preserve">MEAT 4 days </w:t>
            </w:r>
          </w:p>
          <w:p w14:paraId="20A0F4F4" w14:textId="77777777" w:rsidR="008A792A" w:rsidRDefault="008A792A"/>
          <w:p w14:paraId="59E1FE12" w14:textId="77777777" w:rsidR="008A792A" w:rsidRDefault="001D3041">
            <w:r>
              <w:rPr>
                <w:rFonts w:cs="Arial Unicode MS"/>
                <w:color w:val="000000"/>
                <w:u w:color="000000"/>
              </w:rPr>
              <w:t xml:space="preserve">Milk 24 hours </w:t>
            </w:r>
          </w:p>
          <w:p w14:paraId="4DDCD2AD" w14:textId="77777777" w:rsidR="008A792A" w:rsidRDefault="008A792A"/>
        </w:tc>
      </w:tr>
      <w:tr w:rsidR="008A792A" w14:paraId="2BDCB71C" w14:textId="77777777">
        <w:trPr>
          <w:trHeight w:val="9690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FF9A" w14:textId="77777777" w:rsidR="008A792A" w:rsidRDefault="001D3041">
            <w:pPr>
              <w:pStyle w:val="BodyA"/>
            </w:pPr>
            <w:r>
              <w:lastRenderedPageBreak/>
              <w:t>Ketamine</w:t>
            </w: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604E" w14:textId="77777777" w:rsidR="008A792A" w:rsidRDefault="001D3041">
            <w:pPr>
              <w:pStyle w:val="Body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Analgesia </w:t>
            </w: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745E" w14:textId="77777777" w:rsidR="008A792A" w:rsidRDefault="001D3041">
            <w:pPr>
              <w:pStyle w:val="Body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always use in conjunction with xylazine, atropine</w:t>
            </w:r>
          </w:p>
          <w:p w14:paraId="5DD1006E" w14:textId="77777777" w:rsidR="008A792A" w:rsidRDefault="001D3041">
            <w:pPr>
              <w:pStyle w:val="BodyA"/>
              <w:widowControl w:val="0"/>
              <w:numPr>
                <w:ilvl w:val="0"/>
                <w:numId w:val="4"/>
              </w:numPr>
              <w:spacing w:after="240" w:line="280" w:lineRule="atLeast"/>
              <w:rPr>
                <w:rFonts w:ascii="Times New Roman" w:hAnsi="Times New Roman"/>
              </w:rPr>
            </w:pPr>
            <w:r>
              <w:t xml:space="preserve">can cause increased CSF pressure, should not be used in patients with high intraocular pressure or if there has been head trauma. </w:t>
            </w:r>
          </w:p>
          <w:p w14:paraId="360A6456" w14:textId="77777777" w:rsidR="008A792A" w:rsidRDefault="001D3041">
            <w:pPr>
              <w:pStyle w:val="BodyA"/>
              <w:widowControl w:val="0"/>
              <w:numPr>
                <w:ilvl w:val="0"/>
                <w:numId w:val="3"/>
              </w:numPr>
              <w:spacing w:after="240" w:line="28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can increase heart rate and blood pressure and so should not be used in patients where an increase in heart rate, blood press</w:t>
            </w:r>
            <w:r>
              <w:rPr>
                <w:rFonts w:ascii="Trebuchet MS" w:hAnsi="Trebuchet MS"/>
              </w:rPr>
              <w:t xml:space="preserve">ure and myocardial oxygen consumption can be risky (eg. shock or congestive heart failure). </w:t>
            </w:r>
          </w:p>
          <w:p w14:paraId="47B8120E" w14:textId="77777777" w:rsidR="008A792A" w:rsidRDefault="001D3041">
            <w:pPr>
              <w:pStyle w:val="BodyA"/>
              <w:widowControl w:val="0"/>
              <w:numPr>
                <w:ilvl w:val="0"/>
                <w:numId w:val="4"/>
              </w:numPr>
              <w:spacing w:after="240" w:line="280" w:lineRule="atLeast"/>
              <w:rPr>
                <w:rFonts w:ascii="Times New Roman" w:hAnsi="Times New Roman"/>
              </w:rPr>
            </w:pPr>
            <w:r>
              <w:t xml:space="preserve">should be carefully used in animals with preexisting seizure disorders </w:t>
            </w:r>
          </w:p>
          <w:p w14:paraId="7B99829E" w14:textId="77777777" w:rsidR="008A792A" w:rsidRDefault="001D3041">
            <w:pPr>
              <w:pStyle w:val="BodyA"/>
              <w:widowControl w:val="0"/>
              <w:numPr>
                <w:ilvl w:val="0"/>
                <w:numId w:val="4"/>
              </w:numPr>
              <w:spacing w:after="240" w:line="280" w:lineRule="atLeast"/>
              <w:rPr>
                <w:rFonts w:ascii="Times New Roman" w:hAnsi="Times New Roman"/>
              </w:rPr>
            </w:pPr>
            <w:r>
              <w:t xml:space="preserve">should not be used in procedures involving the pharynx, larynx or </w:t>
            </w:r>
            <w:r>
              <w:lastRenderedPageBreak/>
              <w:t>trachea. Ketamine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D7F1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lastRenderedPageBreak/>
              <w:t>IM</w:t>
            </w: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D0BCC" w14:textId="77777777" w:rsidR="008A792A" w:rsidRDefault="001D3041">
            <w:pPr>
              <w:pStyle w:val="BodyA"/>
              <w:widowControl w:val="0"/>
              <w:numPr>
                <w:ilvl w:val="0"/>
                <w:numId w:val="5"/>
              </w:numPr>
              <w:spacing w:after="240" w:line="280" w:lineRule="atLeas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0.05</w:t>
            </w:r>
            <w:r>
              <w:rPr>
                <w:rFonts w:ascii="Trebuchet MS" w:hAnsi="Trebuchet MS"/>
              </w:rPr>
              <w:t xml:space="preserve"> mg/kg</w:t>
            </w:r>
          </w:p>
          <w:p w14:paraId="37CA6362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CALF 1</w:t>
            </w:r>
          </w:p>
          <w:p w14:paraId="6A536B02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[(0.1mg/kg X 250 kg)/100 mg/ml] = 0.5 ml</w:t>
            </w:r>
          </w:p>
          <w:p w14:paraId="1D3D25B6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 xml:space="preserve">CALF 2 </w:t>
            </w:r>
          </w:p>
          <w:p w14:paraId="4DDC85DE" w14:textId="77777777" w:rsidR="008A792A" w:rsidRDefault="001D3041">
            <w:pPr>
              <w:pStyle w:val="BodyA"/>
              <w:widowControl w:val="0"/>
              <w:spacing w:after="240" w:line="280" w:lineRule="atLeast"/>
            </w:pPr>
            <w:r>
              <w:t>[(0.1 mg/kg X 165 kg)/100 mg/ml] = 0.165 ml</w:t>
            </w:r>
          </w:p>
          <w:p w14:paraId="20086BD1" w14:textId="77777777" w:rsidR="008A792A" w:rsidRDefault="008A792A">
            <w:pPr>
              <w:pStyle w:val="BodyA"/>
              <w:widowControl w:val="0"/>
              <w:spacing w:after="240" w:line="280" w:lineRule="atLeast"/>
            </w:pP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066A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C1A60" w14:textId="77777777" w:rsidR="008A792A" w:rsidRDefault="001D3041">
            <w:r>
              <w:rPr>
                <w:rFonts w:cs="Arial Unicode MS"/>
                <w:color w:val="000000"/>
                <w:u w:color="000000"/>
              </w:rPr>
              <w:t>Meat - 3 days, milk 48 hours</w:t>
            </w:r>
          </w:p>
        </w:tc>
      </w:tr>
      <w:tr w:rsidR="008A792A" w14:paraId="18AB9887" w14:textId="77777777">
        <w:trPr>
          <w:trHeight w:val="2250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65AB" w14:textId="77777777" w:rsidR="008A792A" w:rsidRDefault="001D3041">
            <w:pPr>
              <w:pStyle w:val="BodyA"/>
            </w:pPr>
            <w:r>
              <w:lastRenderedPageBreak/>
              <w:t>Ketamine stun</w:t>
            </w: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294F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Xylazine + ketamine = addition of small dose of ketamine to provide chemical restraint </w:t>
            </w: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B3E3" w14:textId="77777777" w:rsidR="008A792A" w:rsidRDefault="008A792A"/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8CC6D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IM</w:t>
            </w: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5DF1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Using </w:t>
            </w:r>
            <w:r>
              <w:rPr>
                <w:rFonts w:ascii="Calibri" w:eastAsia="Calibri" w:hAnsi="Calibri" w:cs="Calibri"/>
              </w:rPr>
              <w:t>previous calculations, mixed…</w:t>
            </w:r>
          </w:p>
          <w:p w14:paraId="347BD991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CALF 1 - 0.06 + 0.05 ml = 0.11 ml</w:t>
            </w:r>
          </w:p>
          <w:p w14:paraId="0E5662A0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CALF 2 - 0.4 + 0.165 = 0.57 ml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4A86" w14:textId="77777777" w:rsidR="008A792A" w:rsidRDefault="008A792A"/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1CB94" w14:textId="77777777" w:rsidR="008A792A" w:rsidRDefault="008A792A"/>
        </w:tc>
      </w:tr>
      <w:tr w:rsidR="008A792A" w14:paraId="2E75882F" w14:textId="77777777">
        <w:trPr>
          <w:trHeight w:val="5570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2985" w14:textId="77777777" w:rsidR="008A792A" w:rsidRDefault="001D3041">
            <w:pPr>
              <w:pStyle w:val="BodyA"/>
            </w:pPr>
            <w:r>
              <w:t>Lidocaine</w:t>
            </w: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088D1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a local anaesthetic used to provide a loss of sensation/analgesia. </w:t>
            </w: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87EE" w14:textId="77777777" w:rsidR="008A792A" w:rsidRDefault="001D3041">
            <w:pPr>
              <w:pStyle w:val="BodyA"/>
            </w:pPr>
            <w:r>
              <w:t>- should not be used with epinephrine IV.</w:t>
            </w:r>
          </w:p>
          <w:p w14:paraId="1DF46C50" w14:textId="77777777" w:rsidR="008A792A" w:rsidRDefault="001D3041">
            <w:pPr>
              <w:pStyle w:val="BodyA"/>
            </w:pPr>
            <w:r>
              <w:t xml:space="preserve">- do not use in patients with hypersensitivity to amide class local anesthetics </w:t>
            </w:r>
          </w:p>
          <w:p w14:paraId="44EBEB0A" w14:textId="77777777" w:rsidR="008A792A" w:rsidRDefault="001D3041">
            <w:pPr>
              <w:pStyle w:val="BodyA"/>
            </w:pPr>
            <w:r>
              <w:t>- do not give to patients with AV, SA or intraventricular heart block.</w:t>
            </w:r>
          </w:p>
          <w:p w14:paraId="29A4BE65" w14:textId="77777777" w:rsidR="008A792A" w:rsidRDefault="001D3041">
            <w:pPr>
              <w:pStyle w:val="BodyA"/>
            </w:pPr>
            <w:r>
              <w:t xml:space="preserve">- take caution with administration to patients in shock or with respiratory depression, liver disease, </w:t>
            </w:r>
            <w:r>
              <w:t>congestive heart failure &amp; hypovolemia.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E16A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Cornual nerve block - in or around nerve</w:t>
            </w: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663E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5 - 10 ccs at each site</w:t>
            </w:r>
          </w:p>
          <w:p w14:paraId="12CB1DFC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 xml:space="preserve">CALF 5 ccs 3 subcut and 2 in spermatic cord </w:t>
            </w:r>
          </w:p>
          <w:p w14:paraId="154A0EA3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 xml:space="preserve">Toxic dose @ 10 mg/kg </w:t>
            </w:r>
          </w:p>
          <w:p w14:paraId="55203EA2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 xml:space="preserve">[(10 mg/kg X </w:t>
            </w:r>
            <w:r>
              <w:rPr>
                <w:rFonts w:ascii="Trebuchet MS" w:hAnsi="Trebuchet MS"/>
              </w:rPr>
              <w:t xml:space="preserve">250 </w:t>
            </w:r>
            <w:r>
              <w:rPr>
                <w:rFonts w:ascii="Trebuchet MS" w:hAnsi="Trebuchet MS"/>
                <w:lang w:val="pt-PT"/>
              </w:rPr>
              <w:t xml:space="preserve">kg)/20 mg/ml)] = </w:t>
            </w:r>
            <w:r>
              <w:rPr>
                <w:rFonts w:ascii="Trebuchet MS" w:hAnsi="Trebuchet MS"/>
              </w:rPr>
              <w:t>125</w:t>
            </w:r>
            <w:r>
              <w:rPr>
                <w:rFonts w:ascii="Trebuchet MS" w:hAnsi="Trebuchet MS"/>
              </w:rPr>
              <w:t xml:space="preserve"> ml</w:t>
            </w:r>
          </w:p>
          <w:p w14:paraId="510FA843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1/2 of toxic dose = 62.5</w:t>
            </w:r>
            <w:r>
              <w:rPr>
                <w:rFonts w:ascii="Trebuchet MS" w:hAnsi="Trebuchet MS"/>
                <w:b/>
                <w:bCs/>
              </w:rPr>
              <w:t xml:space="preserve"> ml</w:t>
            </w:r>
          </w:p>
          <w:p w14:paraId="60B70341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 xml:space="preserve">CALF </w:t>
            </w:r>
            <w:r>
              <w:rPr>
                <w:rFonts w:ascii="Trebuchet MS" w:hAnsi="Trebuchet MS"/>
              </w:rPr>
              <w:t xml:space="preserve">10 </w:t>
            </w:r>
            <w:r>
              <w:rPr>
                <w:rFonts w:ascii="Trebuchet MS" w:hAnsi="Trebuchet MS"/>
              </w:rPr>
              <w:t xml:space="preserve">ccs/site </w:t>
            </w:r>
            <w:r>
              <w:rPr>
                <w:rFonts w:ascii="Trebuchet MS" w:hAnsi="Trebuchet MS"/>
              </w:rPr>
              <w:t>5 subcut, 5 in spermatic cord</w:t>
            </w:r>
          </w:p>
          <w:p w14:paraId="6804CA8C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 xml:space="preserve">Toxic dose @ 10 mg/kg </w:t>
            </w:r>
          </w:p>
          <w:p w14:paraId="1ADB5951" w14:textId="77777777" w:rsidR="008A792A" w:rsidRDefault="001D3041">
            <w:pPr>
              <w:pStyle w:val="BodyA"/>
              <w:widowControl w:val="0"/>
              <w:spacing w:after="240" w:line="280" w:lineRule="atLeas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</w:rPr>
              <w:t>[(10 mg/kg X 1</w:t>
            </w:r>
            <w:r>
              <w:rPr>
                <w:rFonts w:ascii="Trebuchet MS" w:hAnsi="Trebuchet MS"/>
              </w:rPr>
              <w:t xml:space="preserve">65 </w:t>
            </w:r>
            <w:r>
              <w:rPr>
                <w:rFonts w:ascii="Trebuchet MS" w:hAnsi="Trebuchet MS"/>
                <w:lang w:val="pt-PT"/>
              </w:rPr>
              <w:t xml:space="preserve">kg)/20 mg/ml)] = </w:t>
            </w:r>
            <w:r>
              <w:rPr>
                <w:rFonts w:ascii="Trebuchet MS" w:hAnsi="Trebuchet MS"/>
              </w:rPr>
              <w:t>82.5</w:t>
            </w:r>
            <w:r>
              <w:rPr>
                <w:rFonts w:ascii="Trebuchet MS" w:hAnsi="Trebuchet MS"/>
              </w:rPr>
              <w:t xml:space="preserve"> ml</w:t>
            </w:r>
          </w:p>
          <w:p w14:paraId="6BFE46F3" w14:textId="77777777" w:rsidR="008A792A" w:rsidRDefault="001D3041">
            <w:pPr>
              <w:pStyle w:val="BodyA"/>
              <w:widowControl w:val="0"/>
              <w:spacing w:after="240" w:line="280" w:lineRule="atLeast"/>
            </w:pPr>
            <w:r>
              <w:t>1/2 of toxic dose =41.25 ml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4BFE8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2%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2E2DA" w14:textId="77777777" w:rsidR="008A792A" w:rsidRDefault="001D3041">
            <w:r>
              <w:rPr>
                <w:rFonts w:cs="Arial Unicode MS"/>
                <w:color w:val="000000"/>
                <w:u w:color="000000"/>
              </w:rPr>
              <w:t>Meat -1 day, milk - 24 hrs</w:t>
            </w:r>
          </w:p>
        </w:tc>
      </w:tr>
      <w:tr w:rsidR="008A792A" w14:paraId="5EB1E067" w14:textId="77777777">
        <w:trPr>
          <w:trHeight w:val="5890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3562" w14:textId="77777777" w:rsidR="008A792A" w:rsidRDefault="001D3041">
            <w:pPr>
              <w:pStyle w:val="BodyA"/>
            </w:pPr>
            <w:r>
              <w:lastRenderedPageBreak/>
              <w:t>Banamine (flunixin meglumine)</w:t>
            </w: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E74A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An NSAID used for control of inflammation, pain, pyrexia.</w:t>
            </w: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D0EF" w14:textId="77777777" w:rsidR="008A792A" w:rsidRDefault="001D3041">
            <w:pPr>
              <w:pStyle w:val="BodyA"/>
              <w:numPr>
                <w:ilvl w:val="0"/>
                <w:numId w:val="6"/>
              </w:numPr>
            </w:pPr>
            <w:r>
              <w:t xml:space="preserve">patients with dehydration, on concomitant diuretic therapy, or those with renal, cardiovascular, and/or hepatic dysfunction are at risk for renal toxicity </w:t>
            </w:r>
          </w:p>
          <w:p w14:paraId="39572C81" w14:textId="77777777" w:rsidR="008A792A" w:rsidRDefault="001D3041">
            <w:pPr>
              <w:pStyle w:val="BodyA"/>
              <w:numPr>
                <w:ilvl w:val="0"/>
                <w:numId w:val="6"/>
              </w:numPr>
            </w:pPr>
            <w:r>
              <w:t>Avoid or monitor use with other anti-inflammatories as this can cause GI ulcers</w:t>
            </w:r>
          </w:p>
          <w:p w14:paraId="605315DF" w14:textId="77777777" w:rsidR="008A792A" w:rsidRDefault="001D3041">
            <w:pPr>
              <w:pStyle w:val="BodyA"/>
              <w:numPr>
                <w:ilvl w:val="0"/>
                <w:numId w:val="6"/>
              </w:numPr>
            </w:pPr>
            <w:r>
              <w:t xml:space="preserve">Do not use in bulls </w:t>
            </w:r>
            <w:r>
              <w:t xml:space="preserve">to be used for breeding </w:t>
            </w:r>
          </w:p>
          <w:p w14:paraId="6E7AF103" w14:textId="77777777" w:rsidR="008A792A" w:rsidRDefault="001D3041">
            <w:pPr>
              <w:pStyle w:val="BodyA"/>
              <w:numPr>
                <w:ilvl w:val="0"/>
                <w:numId w:val="6"/>
              </w:numPr>
            </w:pPr>
            <w:r>
              <w:t>May have effects on estrus cycle and parturition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FA98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IV</w:t>
            </w: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98D2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1.1 mg/kg</w:t>
            </w:r>
          </w:p>
          <w:p w14:paraId="18419705" w14:textId="77777777" w:rsidR="008A792A" w:rsidRDefault="008A792A">
            <w:pPr>
              <w:pStyle w:val="Body"/>
            </w:pPr>
          </w:p>
          <w:p w14:paraId="274B4F6B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CALF 1 </w:t>
            </w:r>
          </w:p>
          <w:p w14:paraId="0F3282FB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[(1.1 mg/kg X 250 kg)/50 mg/ml)] = 5.5 ml</w:t>
            </w:r>
          </w:p>
          <w:p w14:paraId="1FD7991F" w14:textId="77777777" w:rsidR="008A792A" w:rsidRDefault="008A792A">
            <w:pPr>
              <w:pStyle w:val="Body"/>
            </w:pPr>
          </w:p>
          <w:p w14:paraId="2D1A0E1C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CALF 2</w:t>
            </w:r>
          </w:p>
          <w:p w14:paraId="5B9C0576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[(1.1 mg/kg X 165 kg)/50 mg/ml)] = 3.63 ml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700A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DFE3" w14:textId="77777777" w:rsidR="008A792A" w:rsidRDefault="001D3041">
            <w:r>
              <w:rPr>
                <w:rFonts w:cs="Arial Unicode MS"/>
                <w:color w:val="000000"/>
                <w:u w:color="000000"/>
              </w:rPr>
              <w:t xml:space="preserve">Meat - 30 days, milk - 72 hours </w:t>
            </w:r>
          </w:p>
        </w:tc>
      </w:tr>
      <w:tr w:rsidR="008A792A" w14:paraId="3FD8D48B" w14:textId="77777777">
        <w:trPr>
          <w:trHeight w:val="10370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AC08F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lastRenderedPageBreak/>
              <w:t xml:space="preserve">Pen-Strep </w:t>
            </w:r>
            <w:r>
              <w:rPr>
                <w:rFonts w:ascii="Calibri" w:eastAsia="Calibri" w:hAnsi="Calibri" w:cs="Calibri"/>
              </w:rPr>
              <w:t>(penicillin-streptomycin)</w:t>
            </w: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126D" w14:textId="77777777" w:rsidR="008A792A" w:rsidRDefault="001D3041">
            <w:pPr>
              <w:pStyle w:val="Body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Long-acting antibiotic </w:t>
            </w:r>
          </w:p>
          <w:p w14:paraId="5B61CFB0" w14:textId="77777777" w:rsidR="008A792A" w:rsidRDefault="001D3041">
            <w:pPr>
              <w:pStyle w:val="Body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Treats systemic infections, mixed infections of gram positive and gram negative organisms [ </w:t>
            </w:r>
            <w:r>
              <w:rPr>
                <w:rFonts w:ascii="Arial" w:eastAsia="Calibri" w:hAnsi="Arial" w:cs="Calibri"/>
                <w:i/>
                <w:iCs/>
                <w:lang w:val="pt-PT"/>
              </w:rPr>
              <w:t>Arcanobacterium pyogenes</w:t>
            </w:r>
          </w:p>
          <w:p w14:paraId="526988F3" w14:textId="77777777" w:rsidR="008A792A" w:rsidRDefault="001D3041">
            <w:pPr>
              <w:pStyle w:val="BodyA"/>
              <w:ind w:left="567"/>
              <w:jc w:val="both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Erysipelothrix rhusiopathiae</w:t>
            </w:r>
          </w:p>
          <w:p w14:paraId="35B7AF57" w14:textId="77777777" w:rsidR="008A792A" w:rsidRDefault="001D3041">
            <w:pPr>
              <w:pStyle w:val="BodyA"/>
              <w:ind w:left="567"/>
              <w:jc w:val="both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Klebsiella pneumoniae</w:t>
            </w:r>
          </w:p>
          <w:p w14:paraId="62CE6702" w14:textId="77777777" w:rsidR="008A792A" w:rsidRDefault="001D3041">
            <w:pPr>
              <w:pStyle w:val="BodyA"/>
              <w:ind w:left="5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</w:rPr>
              <w:t>Listeria</w:t>
            </w:r>
            <w:r>
              <w:rPr>
                <w:rFonts w:ascii="Arial" w:hAnsi="Arial"/>
              </w:rPr>
              <w:t xml:space="preserve"> spp</w:t>
            </w:r>
          </w:p>
          <w:p w14:paraId="23529FBB" w14:textId="77777777" w:rsidR="008A792A" w:rsidRDefault="001D3041">
            <w:pPr>
              <w:pStyle w:val="BodyA"/>
              <w:ind w:left="567"/>
              <w:jc w:val="both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Mannheimia haemolytica</w:t>
            </w:r>
          </w:p>
          <w:p w14:paraId="33C680E8" w14:textId="77777777" w:rsidR="008A792A" w:rsidRDefault="001D3041">
            <w:pPr>
              <w:pStyle w:val="BodyA"/>
              <w:ind w:left="567"/>
              <w:jc w:val="both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Pasteurella multocida</w:t>
            </w:r>
          </w:p>
          <w:p w14:paraId="614C120E" w14:textId="77777777" w:rsidR="008A792A" w:rsidRDefault="001D3041">
            <w:pPr>
              <w:pStyle w:val="BodyA"/>
              <w:ind w:left="5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</w:rPr>
              <w:t>Staphylococcus</w:t>
            </w:r>
            <w:r>
              <w:rPr>
                <w:rFonts w:ascii="Arial" w:hAnsi="Arial"/>
              </w:rPr>
              <w:t xml:space="preserve"> spp (non-penicillinase producing)</w:t>
            </w:r>
          </w:p>
          <w:p w14:paraId="3E5D91C1" w14:textId="77777777" w:rsidR="008A792A" w:rsidRDefault="001D3041">
            <w:pPr>
              <w:pStyle w:val="BodyA"/>
              <w:ind w:left="5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</w:rPr>
              <w:t>Streptococcus</w:t>
            </w:r>
            <w:r>
              <w:rPr>
                <w:rFonts w:ascii="Arial" w:hAnsi="Arial"/>
              </w:rPr>
              <w:t xml:space="preserve"> spp</w:t>
            </w:r>
          </w:p>
          <w:p w14:paraId="26AD7DD2" w14:textId="77777777" w:rsidR="008A792A" w:rsidRDefault="001D3041">
            <w:pPr>
              <w:pStyle w:val="BodyA"/>
              <w:ind w:left="567"/>
              <w:jc w:val="both"/>
            </w:pPr>
            <w:r>
              <w:rPr>
                <w:rFonts w:ascii="Arial" w:hAnsi="Arial"/>
                <w:i/>
                <w:iCs/>
              </w:rPr>
              <w:t>Salmonella</w:t>
            </w:r>
            <w:r>
              <w:rPr>
                <w:rFonts w:ascii="Arial" w:hAnsi="Arial"/>
              </w:rPr>
              <w:t xml:space="preserve"> spp]</w:t>
            </w: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0998F" w14:textId="77777777" w:rsidR="008A792A" w:rsidRDefault="001D3041">
            <w:pPr>
              <w:pStyle w:val="Body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cases of penicillin hypersensitivity </w:t>
            </w:r>
          </w:p>
          <w:p w14:paraId="3FCFEC99" w14:textId="77777777" w:rsidR="008A792A" w:rsidRDefault="001D3041">
            <w:pPr>
              <w:pStyle w:val="Body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Narrow margin of safety </w:t>
            </w:r>
          </w:p>
          <w:p w14:paraId="26B487C5" w14:textId="77777777" w:rsidR="008A792A" w:rsidRDefault="001D3041">
            <w:pPr>
              <w:pStyle w:val="Body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Withdrawal time - do not slaughter animals under treatment with drug for human consum</w:t>
            </w:r>
            <w:r>
              <w:rPr>
                <w:rFonts w:ascii="Calibri" w:eastAsia="Calibri" w:hAnsi="Calibri" w:cs="Calibri"/>
              </w:rPr>
              <w:t>ption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5067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IM</w:t>
            </w: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7655" w14:textId="77777777" w:rsidR="008A792A" w:rsidRDefault="001D3041">
            <w:pPr>
              <w:pStyle w:val="Body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0,000 IU </w:t>
            </w:r>
          </w:p>
          <w:p w14:paraId="3FAE588C" w14:textId="77777777" w:rsidR="008A792A" w:rsidRDefault="008A792A">
            <w:pPr>
              <w:pStyle w:val="Body"/>
            </w:pPr>
          </w:p>
          <w:p w14:paraId="1E87B925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CALF 1 </w:t>
            </w:r>
          </w:p>
          <w:p w14:paraId="57D68274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[20,000 IU X 250 kg)/200,000)] = 25 ml</w:t>
            </w:r>
          </w:p>
          <w:p w14:paraId="5B5776F4" w14:textId="77777777" w:rsidR="008A792A" w:rsidRDefault="008A792A">
            <w:pPr>
              <w:pStyle w:val="Body"/>
            </w:pPr>
          </w:p>
          <w:p w14:paraId="457B4E2D" w14:textId="77777777" w:rsidR="008A792A" w:rsidRDefault="008A792A">
            <w:pPr>
              <w:pStyle w:val="Body"/>
            </w:pPr>
          </w:p>
          <w:p w14:paraId="2672DE87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CALF 2 </w:t>
            </w:r>
          </w:p>
          <w:p w14:paraId="1FCFB424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[20,000 IU X 165 kg)/200,000)] = 16.5  ml</w:t>
            </w:r>
          </w:p>
          <w:p w14:paraId="7E3E8D69" w14:textId="77777777" w:rsidR="008A792A" w:rsidRDefault="008A792A">
            <w:pPr>
              <w:pStyle w:val="Body"/>
            </w:pPr>
          </w:p>
          <w:p w14:paraId="40C3E829" w14:textId="77777777" w:rsidR="008A792A" w:rsidRDefault="008A792A">
            <w:pPr>
              <w:pStyle w:val="Body"/>
            </w:pP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3FD7" w14:textId="77777777" w:rsidR="008A792A" w:rsidRDefault="001D3041">
            <w:pPr>
              <w:pStyle w:val="Body"/>
            </w:pPr>
            <w:r>
              <w:rPr>
                <w:rFonts w:ascii="Calibri" w:eastAsia="Calibri" w:hAnsi="Calibri" w:cs="Calibri"/>
              </w:rPr>
              <w:t>200,000 IU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3F7DE" w14:textId="77777777" w:rsidR="008A792A" w:rsidRDefault="001D3041">
            <w:r>
              <w:rPr>
                <w:rFonts w:cs="Arial Unicode MS"/>
                <w:color w:val="000000"/>
                <w:u w:color="000000"/>
              </w:rPr>
              <w:t xml:space="preserve">Meat -31 days, milk - 60 hours </w:t>
            </w:r>
          </w:p>
        </w:tc>
      </w:tr>
      <w:tr w:rsidR="008A792A" w14:paraId="78B3E24A" w14:textId="77777777">
        <w:trPr>
          <w:trHeight w:val="8708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3BBB" w14:textId="35E8F319" w:rsidR="008A792A" w:rsidRDefault="0006291B">
            <w:pPr>
              <w:rPr>
                <w:color w:val="000000" w:themeColor="text1"/>
              </w:rPr>
            </w:pPr>
            <w:r w:rsidRPr="0006291B">
              <w:rPr>
                <w:color w:val="000000" w:themeColor="text1"/>
              </w:rPr>
              <w:lastRenderedPageBreak/>
              <w:t xml:space="preserve">Tetanus antitoxin </w:t>
            </w:r>
          </w:p>
          <w:p w14:paraId="273A4D5A" w14:textId="77777777" w:rsidR="006A08FB" w:rsidRDefault="006A08FB">
            <w:pPr>
              <w:rPr>
                <w:color w:val="000000" w:themeColor="text1"/>
              </w:rPr>
            </w:pPr>
          </w:p>
          <w:p w14:paraId="314A5315" w14:textId="77777777" w:rsidR="006A08FB" w:rsidRDefault="006A08FB">
            <w:pPr>
              <w:rPr>
                <w:color w:val="000000" w:themeColor="text1"/>
              </w:rPr>
            </w:pPr>
          </w:p>
          <w:p w14:paraId="0B621670" w14:textId="77777777" w:rsidR="006A08FB" w:rsidRDefault="006A08FB">
            <w:pPr>
              <w:rPr>
                <w:color w:val="000000" w:themeColor="text1"/>
              </w:rPr>
            </w:pPr>
          </w:p>
          <w:p w14:paraId="4D0376F1" w14:textId="77777777" w:rsidR="006A08FB" w:rsidRDefault="006A08FB">
            <w:pPr>
              <w:rPr>
                <w:color w:val="000000" w:themeColor="text1"/>
              </w:rPr>
            </w:pPr>
          </w:p>
          <w:p w14:paraId="18F6D47E" w14:textId="77777777" w:rsidR="006A08FB" w:rsidRDefault="006A08FB">
            <w:pPr>
              <w:rPr>
                <w:color w:val="000000" w:themeColor="text1"/>
              </w:rPr>
            </w:pPr>
          </w:p>
          <w:p w14:paraId="5042B08D" w14:textId="77777777" w:rsidR="006A08FB" w:rsidRDefault="006A08FB">
            <w:pPr>
              <w:rPr>
                <w:color w:val="000000" w:themeColor="text1"/>
              </w:rPr>
            </w:pPr>
          </w:p>
          <w:p w14:paraId="297BF5B4" w14:textId="77777777" w:rsidR="006A08FB" w:rsidRDefault="006A08FB">
            <w:pPr>
              <w:rPr>
                <w:color w:val="000000" w:themeColor="text1"/>
              </w:rPr>
            </w:pPr>
          </w:p>
          <w:p w14:paraId="138DC420" w14:textId="77777777" w:rsidR="006A08FB" w:rsidRDefault="006A08FB">
            <w:pPr>
              <w:rPr>
                <w:color w:val="000000" w:themeColor="text1"/>
              </w:rPr>
            </w:pPr>
          </w:p>
          <w:p w14:paraId="40A9A8E9" w14:textId="77777777" w:rsidR="006A08FB" w:rsidRDefault="006A08FB">
            <w:pPr>
              <w:rPr>
                <w:color w:val="000000" w:themeColor="text1"/>
              </w:rPr>
            </w:pPr>
          </w:p>
          <w:p w14:paraId="47C1CFB5" w14:textId="77777777" w:rsidR="006A08FB" w:rsidRDefault="006A08FB">
            <w:pPr>
              <w:rPr>
                <w:color w:val="000000" w:themeColor="text1"/>
              </w:rPr>
            </w:pPr>
          </w:p>
          <w:p w14:paraId="714A1D28" w14:textId="77777777" w:rsidR="006A08FB" w:rsidRDefault="006A08FB">
            <w:pPr>
              <w:rPr>
                <w:color w:val="000000" w:themeColor="text1"/>
              </w:rPr>
            </w:pPr>
          </w:p>
          <w:p w14:paraId="434D6F88" w14:textId="77777777" w:rsidR="006A08FB" w:rsidRDefault="006A08FB">
            <w:pPr>
              <w:rPr>
                <w:color w:val="000000" w:themeColor="text1"/>
              </w:rPr>
            </w:pPr>
          </w:p>
          <w:p w14:paraId="0CBC92BF" w14:textId="77777777" w:rsidR="006A08FB" w:rsidRDefault="006A08FB">
            <w:pPr>
              <w:rPr>
                <w:color w:val="000000" w:themeColor="text1"/>
              </w:rPr>
            </w:pPr>
          </w:p>
          <w:p w14:paraId="395650CD" w14:textId="77777777" w:rsidR="006A08FB" w:rsidRDefault="006A08FB">
            <w:pPr>
              <w:rPr>
                <w:color w:val="000000" w:themeColor="text1"/>
              </w:rPr>
            </w:pPr>
          </w:p>
          <w:p w14:paraId="3F6690C7" w14:textId="77777777" w:rsidR="006A08FB" w:rsidRDefault="006A08FB">
            <w:pPr>
              <w:rPr>
                <w:color w:val="000000" w:themeColor="text1"/>
              </w:rPr>
            </w:pPr>
          </w:p>
          <w:p w14:paraId="5CCD06FF" w14:textId="77777777" w:rsidR="006A08FB" w:rsidRDefault="006A08FB">
            <w:pPr>
              <w:rPr>
                <w:color w:val="000000" w:themeColor="text1"/>
              </w:rPr>
            </w:pPr>
          </w:p>
          <w:p w14:paraId="40924345" w14:textId="77777777" w:rsidR="006A08FB" w:rsidRDefault="006A08FB">
            <w:pPr>
              <w:rPr>
                <w:color w:val="000000" w:themeColor="text1"/>
              </w:rPr>
            </w:pPr>
          </w:p>
          <w:p w14:paraId="462B97B7" w14:textId="77777777" w:rsidR="006A08FB" w:rsidRDefault="006A08FB">
            <w:pPr>
              <w:rPr>
                <w:color w:val="000000" w:themeColor="text1"/>
              </w:rPr>
            </w:pPr>
          </w:p>
          <w:p w14:paraId="116825AB" w14:textId="77777777" w:rsidR="006A08FB" w:rsidRDefault="006A08FB">
            <w:pPr>
              <w:rPr>
                <w:color w:val="000000" w:themeColor="text1"/>
              </w:rPr>
            </w:pPr>
          </w:p>
          <w:p w14:paraId="6379D0F5" w14:textId="77777777" w:rsidR="006A08FB" w:rsidRDefault="006A08FB">
            <w:pPr>
              <w:rPr>
                <w:color w:val="000000" w:themeColor="text1"/>
              </w:rPr>
            </w:pPr>
          </w:p>
          <w:p w14:paraId="53523DEA" w14:textId="77777777" w:rsidR="006A08FB" w:rsidRDefault="006A08FB">
            <w:pPr>
              <w:rPr>
                <w:color w:val="000000" w:themeColor="text1"/>
              </w:rPr>
            </w:pPr>
          </w:p>
          <w:p w14:paraId="151E1DF7" w14:textId="77777777" w:rsidR="006A08FB" w:rsidRDefault="006A08FB">
            <w:pPr>
              <w:rPr>
                <w:color w:val="000000" w:themeColor="text1"/>
              </w:rPr>
            </w:pPr>
          </w:p>
          <w:p w14:paraId="3F704C0C" w14:textId="77777777" w:rsidR="006A08FB" w:rsidRDefault="006A08FB">
            <w:pPr>
              <w:rPr>
                <w:color w:val="000000" w:themeColor="text1"/>
              </w:rPr>
            </w:pPr>
          </w:p>
          <w:p w14:paraId="52222E7E" w14:textId="77777777" w:rsidR="006A08FB" w:rsidRDefault="006A08FB">
            <w:pPr>
              <w:rPr>
                <w:color w:val="000000" w:themeColor="text1"/>
              </w:rPr>
            </w:pPr>
          </w:p>
          <w:p w14:paraId="045E7237" w14:textId="77777777" w:rsidR="006A08FB" w:rsidRDefault="006A08FB">
            <w:pPr>
              <w:rPr>
                <w:color w:val="000000" w:themeColor="text1"/>
              </w:rPr>
            </w:pPr>
          </w:p>
          <w:p w14:paraId="365064AC" w14:textId="77777777" w:rsidR="006A08FB" w:rsidRDefault="006A08FB">
            <w:pPr>
              <w:rPr>
                <w:color w:val="000000" w:themeColor="text1"/>
              </w:rPr>
            </w:pPr>
          </w:p>
          <w:p w14:paraId="4532F945" w14:textId="77777777" w:rsidR="006A08FB" w:rsidRDefault="006A08FB">
            <w:pPr>
              <w:rPr>
                <w:color w:val="000000" w:themeColor="text1"/>
              </w:rPr>
            </w:pPr>
          </w:p>
          <w:p w14:paraId="4F919D4A" w14:textId="77777777" w:rsidR="006A08FB" w:rsidRDefault="006A08FB">
            <w:pPr>
              <w:rPr>
                <w:color w:val="000000" w:themeColor="text1"/>
              </w:rPr>
            </w:pPr>
          </w:p>
          <w:p w14:paraId="204BF5D4" w14:textId="77777777" w:rsidR="006A08FB" w:rsidRDefault="006A08FB">
            <w:pPr>
              <w:rPr>
                <w:color w:val="000000" w:themeColor="text1"/>
              </w:rPr>
            </w:pPr>
          </w:p>
          <w:p w14:paraId="1D22869B" w14:textId="77777777" w:rsidR="006A08FB" w:rsidRDefault="006A08FB">
            <w:pPr>
              <w:rPr>
                <w:color w:val="000000" w:themeColor="text1"/>
              </w:rPr>
            </w:pPr>
          </w:p>
          <w:p w14:paraId="5092B1D0" w14:textId="77777777" w:rsidR="006A08FB" w:rsidRDefault="006A08FB">
            <w:pPr>
              <w:rPr>
                <w:color w:val="000000" w:themeColor="text1"/>
              </w:rPr>
            </w:pPr>
          </w:p>
          <w:p w14:paraId="26BC59AC" w14:textId="77777777" w:rsidR="006A08FB" w:rsidRDefault="006A08FB">
            <w:pPr>
              <w:rPr>
                <w:color w:val="000000" w:themeColor="text1"/>
              </w:rPr>
            </w:pPr>
          </w:p>
          <w:p w14:paraId="22C8DE8C" w14:textId="77777777" w:rsidR="006A08FB" w:rsidRDefault="006A08FB">
            <w:pPr>
              <w:rPr>
                <w:color w:val="000000" w:themeColor="text1"/>
              </w:rPr>
            </w:pPr>
          </w:p>
          <w:p w14:paraId="0F0E6A24" w14:textId="77777777" w:rsidR="006A08FB" w:rsidRDefault="006A08FB">
            <w:pPr>
              <w:rPr>
                <w:color w:val="000000" w:themeColor="text1"/>
              </w:rPr>
            </w:pPr>
          </w:p>
          <w:p w14:paraId="370AB348" w14:textId="77777777" w:rsidR="006A08FB" w:rsidRDefault="006A08FB">
            <w:pPr>
              <w:rPr>
                <w:color w:val="000000" w:themeColor="text1"/>
              </w:rPr>
            </w:pPr>
          </w:p>
          <w:p w14:paraId="308CA095" w14:textId="77777777" w:rsidR="006A08FB" w:rsidRDefault="006A08FB">
            <w:pPr>
              <w:rPr>
                <w:color w:val="000000" w:themeColor="text1"/>
              </w:rPr>
            </w:pPr>
          </w:p>
          <w:p w14:paraId="1DF93C4A" w14:textId="77777777" w:rsidR="006A08FB" w:rsidRDefault="006A08FB">
            <w:pPr>
              <w:rPr>
                <w:color w:val="000000" w:themeColor="text1"/>
              </w:rPr>
            </w:pPr>
          </w:p>
          <w:p w14:paraId="7D8A9348" w14:textId="77777777" w:rsidR="006A08FB" w:rsidRDefault="006A08FB">
            <w:pPr>
              <w:rPr>
                <w:color w:val="000000" w:themeColor="text1"/>
              </w:rPr>
            </w:pPr>
          </w:p>
          <w:p w14:paraId="48413E65" w14:textId="77777777" w:rsidR="006A08FB" w:rsidRDefault="006A08FB">
            <w:pPr>
              <w:rPr>
                <w:color w:val="000000" w:themeColor="text1"/>
              </w:rPr>
            </w:pPr>
          </w:p>
          <w:p w14:paraId="0A0391AB" w14:textId="77777777" w:rsidR="006A08FB" w:rsidRDefault="006A08FB">
            <w:pPr>
              <w:rPr>
                <w:color w:val="000000" w:themeColor="text1"/>
              </w:rPr>
            </w:pPr>
          </w:p>
          <w:p w14:paraId="45F812F4" w14:textId="77777777" w:rsidR="006A08FB" w:rsidRDefault="006A08FB">
            <w:pPr>
              <w:rPr>
                <w:color w:val="000000" w:themeColor="text1"/>
              </w:rPr>
            </w:pPr>
          </w:p>
          <w:p w14:paraId="58FBFF91" w14:textId="77777777" w:rsidR="006A08FB" w:rsidRDefault="006A08FB">
            <w:pPr>
              <w:rPr>
                <w:color w:val="000000" w:themeColor="text1"/>
              </w:rPr>
            </w:pPr>
          </w:p>
          <w:p w14:paraId="56885137" w14:textId="77777777" w:rsidR="006A08FB" w:rsidRDefault="006A08FB">
            <w:pPr>
              <w:rPr>
                <w:color w:val="000000" w:themeColor="text1"/>
              </w:rPr>
            </w:pPr>
          </w:p>
          <w:p w14:paraId="743F27DB" w14:textId="77777777" w:rsidR="006A08FB" w:rsidRDefault="006A08FB">
            <w:pPr>
              <w:rPr>
                <w:color w:val="000000" w:themeColor="text1"/>
              </w:rPr>
            </w:pPr>
          </w:p>
          <w:p w14:paraId="44C2C758" w14:textId="77777777" w:rsidR="006A08FB" w:rsidRDefault="006A08FB">
            <w:pPr>
              <w:rPr>
                <w:color w:val="000000" w:themeColor="text1"/>
              </w:rPr>
            </w:pPr>
          </w:p>
          <w:p w14:paraId="07E04D08" w14:textId="77777777" w:rsidR="006A08FB" w:rsidRDefault="006A08FB">
            <w:pPr>
              <w:rPr>
                <w:color w:val="000000" w:themeColor="text1"/>
              </w:rPr>
            </w:pPr>
          </w:p>
          <w:p w14:paraId="3C9D291E" w14:textId="77777777" w:rsidR="006A08FB" w:rsidRDefault="006A08FB">
            <w:pPr>
              <w:rPr>
                <w:color w:val="000000" w:themeColor="text1"/>
              </w:rPr>
            </w:pPr>
          </w:p>
          <w:p w14:paraId="02B63610" w14:textId="77777777" w:rsidR="006A08FB" w:rsidRDefault="006A08FB">
            <w:pPr>
              <w:rPr>
                <w:color w:val="000000" w:themeColor="text1"/>
              </w:rPr>
            </w:pPr>
          </w:p>
          <w:p w14:paraId="2344B86A" w14:textId="77777777" w:rsidR="006A08FB" w:rsidRDefault="006A08FB">
            <w:pPr>
              <w:rPr>
                <w:color w:val="000000" w:themeColor="text1"/>
              </w:rPr>
            </w:pPr>
          </w:p>
          <w:p w14:paraId="7C5EAA9D" w14:textId="77777777" w:rsidR="006A08FB" w:rsidRPr="0006291B" w:rsidRDefault="006A08FB">
            <w:pPr>
              <w:rPr>
                <w:color w:val="000000" w:themeColor="text1"/>
              </w:rPr>
            </w:pP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4C3C" w14:textId="77777777" w:rsidR="0006291B" w:rsidRPr="0006291B" w:rsidRDefault="0006291B" w:rsidP="0006291B">
            <w:pPr>
              <w:pStyle w:val="Default"/>
              <w:rPr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EFFFE"/>
              </w:rPr>
            </w:pPr>
            <w:r w:rsidRPr="0006291B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EFFFE"/>
              </w:rPr>
              <w:lastRenderedPageBreak/>
              <w:t xml:space="preserve">- for use whenever a non-immunized animal, or one whose immune status is unknown, suffers a deep penetrating wound that has or may become contaminated - it </w:t>
            </w:r>
            <w:r w:rsidRPr="0006291B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EFFFE"/>
                <w:lang w:val="fr-FR"/>
              </w:rPr>
              <w:t>provides quick</w:t>
            </w:r>
            <w:r w:rsidRPr="0006291B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EFFFE"/>
              </w:rPr>
              <w:t>, short-term protection.</w:t>
            </w:r>
          </w:p>
          <w:p w14:paraId="43AD75BC" w14:textId="77777777" w:rsidR="0006291B" w:rsidRPr="0006291B" w:rsidRDefault="0006291B" w:rsidP="0006291B">
            <w:pPr>
              <w:pStyle w:val="Default"/>
              <w:rPr>
                <w:rFonts w:ascii="Arial" w:eastAsia="Arial" w:hAnsi="Arial" w:cs="Arial"/>
                <w:color w:val="000000" w:themeColor="text1"/>
                <w:sz w:val="24"/>
                <w:szCs w:val="24"/>
                <w:shd w:val="clear" w:color="auto" w:fill="FEFFFE"/>
              </w:rPr>
            </w:pPr>
            <w:r w:rsidRPr="0006291B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EFFFE"/>
              </w:rPr>
              <w:t xml:space="preserve">- administered to animals following castration, docking, and other operations as a prophylactic measure especially when </w:t>
            </w:r>
            <w:r w:rsidRPr="0006291B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EFFFE"/>
                <w:lang w:val="da-DK"/>
              </w:rPr>
              <w:t xml:space="preserve">performed </w:t>
            </w:r>
            <w:r w:rsidRPr="0006291B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EFFFE"/>
              </w:rPr>
              <w:t>in an environment where tetanus infection has been present.</w:t>
            </w:r>
          </w:p>
          <w:p w14:paraId="708A8243" w14:textId="77777777" w:rsidR="008A792A" w:rsidRDefault="008A792A">
            <w:pPr>
              <w:rPr>
                <w:color w:val="000000" w:themeColor="text1"/>
              </w:rPr>
            </w:pPr>
          </w:p>
          <w:p w14:paraId="0CB443CC" w14:textId="77777777" w:rsidR="0006291B" w:rsidRDefault="0006291B" w:rsidP="0006291B">
            <w:pPr>
              <w:pStyle w:val="Default"/>
              <w:rPr>
                <w:rFonts w:ascii="Arial" w:eastAsia="Arial" w:hAnsi="Arial" w:cs="Arial"/>
                <w:color w:val="544039"/>
                <w:sz w:val="24"/>
                <w:szCs w:val="24"/>
                <w:shd w:val="clear" w:color="auto" w:fill="FEFFFE"/>
              </w:rPr>
            </w:pPr>
            <w:r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  <w:t xml:space="preserve">For prevention </w:t>
            </w:r>
            <w:r>
              <w:rPr>
                <w:rFonts w:ascii="Arial" w:hAnsi="Arial"/>
                <w:color w:val="544039"/>
                <w:sz w:val="24"/>
                <w:szCs w:val="24"/>
                <w:shd w:val="clear" w:color="auto" w:fill="FEFFFE"/>
              </w:rPr>
              <w:t xml:space="preserve">in horses, cattle, swine, and sheep: 1,500 units IM or SQ. </w:t>
            </w:r>
            <w:r>
              <w:rPr>
                <w:rFonts w:ascii="Arial" w:hAnsi="Arial"/>
                <w:color w:val="544039"/>
                <w:sz w:val="24"/>
                <w:szCs w:val="24"/>
                <w:shd w:val="clear" w:color="auto" w:fill="FEFFFE"/>
              </w:rPr>
              <w:lastRenderedPageBreak/>
              <w:t>(1500 units = 1 single dose.)</w:t>
            </w:r>
          </w:p>
          <w:p w14:paraId="7A999B88" w14:textId="77777777" w:rsidR="0006291B" w:rsidRDefault="0006291B" w:rsidP="0006291B">
            <w:pPr>
              <w:pStyle w:val="Default"/>
              <w:rPr>
                <w:rFonts w:ascii="Arial" w:eastAsia="Arial" w:hAnsi="Arial" w:cs="Arial"/>
                <w:color w:val="544039"/>
                <w:sz w:val="24"/>
                <w:szCs w:val="24"/>
                <w:shd w:val="clear" w:color="auto" w:fill="FEFFFE"/>
              </w:rPr>
            </w:pPr>
            <w:r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  <w:t>For treatment</w:t>
            </w:r>
            <w:r>
              <w:rPr>
                <w:rFonts w:ascii="Arial" w:hAnsi="Arial"/>
                <w:color w:val="544039"/>
                <w:sz w:val="24"/>
                <w:szCs w:val="24"/>
                <w:shd w:val="clear" w:color="auto" w:fill="FEFFFE"/>
              </w:rPr>
              <w:t>:</w:t>
            </w:r>
          </w:p>
          <w:p w14:paraId="71F0B9F9" w14:textId="77777777" w:rsidR="0006291B" w:rsidRDefault="0006291B" w:rsidP="0006291B">
            <w:pPr>
              <w:pStyle w:val="Default"/>
              <w:rPr>
                <w:rFonts w:ascii="Arial" w:eastAsia="Arial" w:hAnsi="Arial" w:cs="Arial"/>
                <w:color w:val="544039"/>
                <w:sz w:val="24"/>
                <w:szCs w:val="24"/>
                <w:shd w:val="clear" w:color="auto" w:fill="FEFFFE"/>
              </w:rPr>
            </w:pPr>
            <w:r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  <w:t xml:space="preserve">Horses </w:t>
            </w:r>
            <w:r>
              <w:rPr>
                <w:rFonts w:ascii="Arial" w:hAnsi="Arial"/>
                <w:color w:val="544039"/>
                <w:sz w:val="24"/>
                <w:szCs w:val="24"/>
                <w:shd w:val="clear" w:color="auto" w:fill="FEFFFE"/>
              </w:rPr>
              <w:t xml:space="preserve">and </w:t>
            </w:r>
            <w:r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  <w:lang w:val="it-IT"/>
              </w:rPr>
              <w:t>cattle:</w:t>
            </w:r>
            <w:r>
              <w:rPr>
                <w:rFonts w:ascii="Arial" w:hAnsi="Arial"/>
                <w:color w:val="544039"/>
                <w:sz w:val="24"/>
                <w:szCs w:val="24"/>
                <w:shd w:val="clear" w:color="auto" w:fill="FEFFFE"/>
              </w:rPr>
              <w:t xml:space="preserve"> give 10,000 to 25,000 units</w:t>
            </w:r>
          </w:p>
          <w:p w14:paraId="3B1B722E" w14:textId="77777777" w:rsidR="0006291B" w:rsidRDefault="0006291B" w:rsidP="0006291B">
            <w:pPr>
              <w:pStyle w:val="Default"/>
              <w:rPr>
                <w:rFonts w:ascii="Arial" w:eastAsia="Arial" w:hAnsi="Arial" w:cs="Arial"/>
                <w:color w:val="544039"/>
                <w:sz w:val="24"/>
                <w:szCs w:val="24"/>
                <w:shd w:val="clear" w:color="auto" w:fill="FEFFFE"/>
              </w:rPr>
            </w:pPr>
            <w:r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  <w:t xml:space="preserve">Sheep </w:t>
            </w:r>
            <w:r>
              <w:rPr>
                <w:rFonts w:ascii="Arial" w:hAnsi="Arial"/>
                <w:color w:val="544039"/>
                <w:sz w:val="24"/>
                <w:szCs w:val="24"/>
                <w:shd w:val="clear" w:color="auto" w:fill="FEFFFE"/>
              </w:rPr>
              <w:t xml:space="preserve">and </w:t>
            </w:r>
            <w:r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  <w:t>swine:</w:t>
            </w:r>
            <w:r>
              <w:rPr>
                <w:rFonts w:ascii="Arial" w:hAnsi="Arial"/>
                <w:color w:val="544039"/>
                <w:sz w:val="24"/>
                <w:szCs w:val="24"/>
                <w:shd w:val="clear" w:color="auto" w:fill="FEFFFE"/>
              </w:rPr>
              <w:t xml:space="preserve"> give 5,000-12,500 units.</w:t>
            </w:r>
          </w:p>
          <w:p w14:paraId="26F817C5" w14:textId="77777777" w:rsidR="0006291B" w:rsidRDefault="0006291B" w:rsidP="0006291B">
            <w:pPr>
              <w:pStyle w:val="Default"/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</w:pPr>
            <w:r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  <w:t>Also approved for Goats:</w:t>
            </w:r>
          </w:p>
          <w:p w14:paraId="1E63819F" w14:textId="77777777" w:rsidR="006A08FB" w:rsidRDefault="006A08FB" w:rsidP="0006291B">
            <w:pPr>
              <w:pStyle w:val="Default"/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</w:pPr>
          </w:p>
          <w:p w14:paraId="6A706356" w14:textId="77777777" w:rsidR="006A08FB" w:rsidRDefault="006A08FB" w:rsidP="0006291B">
            <w:pPr>
              <w:pStyle w:val="Default"/>
              <w:rPr>
                <w:rFonts w:ascii="Arial" w:hAnsi="Arial"/>
                <w:b/>
                <w:bCs/>
                <w:color w:val="544039"/>
                <w:sz w:val="24"/>
                <w:szCs w:val="24"/>
                <w:shd w:val="clear" w:color="auto" w:fill="FEFFFE"/>
              </w:rPr>
            </w:pPr>
          </w:p>
          <w:p w14:paraId="749FCB62" w14:textId="77777777" w:rsidR="006A08FB" w:rsidRDefault="006A08FB" w:rsidP="0006291B">
            <w:pPr>
              <w:pStyle w:val="Default"/>
              <w:rPr>
                <w:rFonts w:ascii="Arial" w:eastAsia="Arial" w:hAnsi="Arial" w:cs="Arial"/>
                <w:color w:val="544039"/>
                <w:sz w:val="24"/>
                <w:szCs w:val="24"/>
                <w:shd w:val="clear" w:color="auto" w:fill="FEFFFE"/>
              </w:rPr>
            </w:pPr>
          </w:p>
          <w:p w14:paraId="16B497DE" w14:textId="77777777" w:rsidR="0006291B" w:rsidRPr="0006291B" w:rsidRDefault="0006291B">
            <w:pPr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D513" w14:textId="77777777" w:rsidR="008A792A" w:rsidRDefault="008A792A"/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00F0" w14:textId="77777777" w:rsidR="0006291B" w:rsidRDefault="0006291B" w:rsidP="0006291B">
            <w:pPr>
              <w:pStyle w:val="Default"/>
              <w:rPr>
                <w:rFonts w:ascii="Arial" w:hAnsi="Arial"/>
                <w:b/>
                <w:bCs/>
                <w:color w:val="544039"/>
                <w:shd w:val="clear" w:color="auto" w:fill="FEFFFE"/>
              </w:rPr>
            </w:pPr>
            <w:r>
              <w:t>IM</w:t>
            </w:r>
            <w:r>
              <w:rPr>
                <w:rFonts w:ascii="Arial" w:hAnsi="Arial"/>
                <w:b/>
                <w:bCs/>
                <w:color w:val="544039"/>
                <w:shd w:val="clear" w:color="auto" w:fill="FEFFFE"/>
              </w:rPr>
              <w:t xml:space="preserve"> </w:t>
            </w:r>
          </w:p>
          <w:p w14:paraId="0CA1B229" w14:textId="77777777" w:rsidR="0006291B" w:rsidRDefault="0006291B" w:rsidP="0006291B">
            <w:pPr>
              <w:pStyle w:val="Default"/>
              <w:rPr>
                <w:rFonts w:ascii="Arial" w:hAnsi="Arial"/>
                <w:color w:val="544039"/>
                <w:sz w:val="24"/>
                <w:szCs w:val="24"/>
                <w:shd w:val="clear" w:color="auto" w:fill="FEFFFE"/>
              </w:rPr>
            </w:pPr>
          </w:p>
          <w:p w14:paraId="323C8080" w14:textId="77777777" w:rsidR="0006291B" w:rsidRDefault="0006291B" w:rsidP="0006291B">
            <w:pPr>
              <w:pStyle w:val="Default"/>
              <w:rPr>
                <w:rFonts w:ascii="Arial" w:eastAsia="Arial" w:hAnsi="Arial" w:cs="Arial"/>
                <w:color w:val="544039"/>
                <w:sz w:val="24"/>
                <w:szCs w:val="24"/>
                <w:shd w:val="clear" w:color="auto" w:fill="FEFFFE"/>
              </w:rPr>
            </w:pPr>
          </w:p>
          <w:p w14:paraId="561A6B6A" w14:textId="77777777" w:rsidR="008A792A" w:rsidRDefault="008A792A"/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7B532" w14:textId="77777777" w:rsidR="008A792A" w:rsidRDefault="008A792A"/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2A63" w14:textId="77777777" w:rsidR="008A792A" w:rsidRDefault="008A792A"/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EF08" w14:textId="77777777" w:rsidR="008A792A" w:rsidRDefault="008A792A"/>
        </w:tc>
      </w:tr>
      <w:tr w:rsidR="006A08FB" w14:paraId="0718FEC8" w14:textId="77777777">
        <w:trPr>
          <w:trHeight w:val="8708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02C4" w14:textId="59BDF750" w:rsidR="006A08FB" w:rsidRDefault="006A08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Tetravet Antibiotic spray</w:t>
            </w:r>
          </w:p>
          <w:p w14:paraId="17FA4CE2" w14:textId="77777777" w:rsidR="006A08FB" w:rsidRPr="0006291B" w:rsidRDefault="006A08FB">
            <w:pPr>
              <w:rPr>
                <w:color w:val="000000" w:themeColor="text1"/>
              </w:rPr>
            </w:pP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442C7" w14:textId="77777777" w:rsidR="006A08FB" w:rsidRPr="0006291B" w:rsidRDefault="006A08FB" w:rsidP="0006291B">
            <w:pPr>
              <w:pStyle w:val="Default"/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EFFFE"/>
              </w:rPr>
            </w:pP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D3D7" w14:textId="77777777" w:rsidR="006A08FB" w:rsidRDefault="006A08FB"/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A936" w14:textId="0D0D2403" w:rsidR="006A08FB" w:rsidRDefault="006A08FB" w:rsidP="0006291B">
            <w:pPr>
              <w:pStyle w:val="Default"/>
            </w:pPr>
            <w:r>
              <w:t>Topical</w:t>
            </w: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48BF" w14:textId="77777777" w:rsidR="006A08FB" w:rsidRDefault="006A08FB"/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88FD7" w14:textId="77777777" w:rsidR="006A08FB" w:rsidRDefault="006A08FB"/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1DBE" w14:textId="77777777" w:rsidR="006A08FB" w:rsidRDefault="006A08FB"/>
        </w:tc>
      </w:tr>
      <w:tr w:rsidR="006A08FB" w14:paraId="5D69B723" w14:textId="77777777">
        <w:trPr>
          <w:trHeight w:val="8708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410D1" w14:textId="3BA39162" w:rsidR="006A08FB" w:rsidRDefault="006A08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Larvicidal (Screwworm spray)</w:t>
            </w:r>
          </w:p>
        </w:tc>
        <w:tc>
          <w:tcPr>
            <w:tcW w:w="1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1025" w14:textId="77777777" w:rsidR="006A08FB" w:rsidRPr="0006291B" w:rsidRDefault="006A08FB" w:rsidP="0006291B">
            <w:pPr>
              <w:pStyle w:val="Default"/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EFFFE"/>
              </w:rPr>
            </w:pP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3CB2" w14:textId="77777777" w:rsidR="006A08FB" w:rsidRDefault="006A08FB"/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3702D" w14:textId="4C2B3E89" w:rsidR="006A08FB" w:rsidRDefault="006A08FB" w:rsidP="0006291B">
            <w:pPr>
              <w:pStyle w:val="Default"/>
            </w:pPr>
            <w:r>
              <w:t>Topical</w:t>
            </w:r>
            <w:bookmarkStart w:id="0" w:name="_GoBack"/>
            <w:bookmarkEnd w:id="0"/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3D52" w14:textId="77777777" w:rsidR="006A08FB" w:rsidRDefault="006A08FB"/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5DDC" w14:textId="77777777" w:rsidR="006A08FB" w:rsidRDefault="006A08FB"/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1B06A" w14:textId="77777777" w:rsidR="006A08FB" w:rsidRDefault="006A08FB"/>
        </w:tc>
      </w:tr>
    </w:tbl>
    <w:p w14:paraId="27FD2FAA" w14:textId="77777777" w:rsidR="008A792A" w:rsidRDefault="008A792A">
      <w:pPr>
        <w:pStyle w:val="Body"/>
        <w:widowControl w:val="0"/>
        <w:ind w:left="108" w:hanging="108"/>
      </w:pPr>
    </w:p>
    <w:sectPr w:rsidR="008A792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B1320" w14:textId="77777777" w:rsidR="001D3041" w:rsidRDefault="001D3041">
      <w:r>
        <w:separator/>
      </w:r>
    </w:p>
  </w:endnote>
  <w:endnote w:type="continuationSeparator" w:id="0">
    <w:p w14:paraId="674385F3" w14:textId="77777777" w:rsidR="001D3041" w:rsidRDefault="001D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00410" w14:textId="77777777" w:rsidR="008A792A" w:rsidRDefault="008A792A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D8739" w14:textId="77777777" w:rsidR="001D3041" w:rsidRDefault="001D3041">
      <w:r>
        <w:separator/>
      </w:r>
    </w:p>
  </w:footnote>
  <w:footnote w:type="continuationSeparator" w:id="0">
    <w:p w14:paraId="307C5AAD" w14:textId="77777777" w:rsidR="001D3041" w:rsidRDefault="001D30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13F13" w14:textId="77777777" w:rsidR="008A792A" w:rsidRDefault="008A792A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E1E"/>
    <w:multiLevelType w:val="hybridMultilevel"/>
    <w:tmpl w:val="5204DD9A"/>
    <w:lvl w:ilvl="0" w:tplc="D7BA7F32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545B2C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2A6CAE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48AD4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6C50C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521A38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AD588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2ADAE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2E44A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580B6E"/>
    <w:multiLevelType w:val="hybridMultilevel"/>
    <w:tmpl w:val="4E3255B0"/>
    <w:lvl w:ilvl="0" w:tplc="A9DE5964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B05930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A00F98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C2358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56B0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AFD3E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24162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18B6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BA0074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633E72"/>
    <w:multiLevelType w:val="hybridMultilevel"/>
    <w:tmpl w:val="B78C06D6"/>
    <w:lvl w:ilvl="0" w:tplc="8FB8EC22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00EAA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0DF18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24618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D838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A67560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2C26C8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BCE1AA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60B264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CE2684F"/>
    <w:multiLevelType w:val="hybridMultilevel"/>
    <w:tmpl w:val="E6141F9E"/>
    <w:lvl w:ilvl="0" w:tplc="409CF172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A13DA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8ECA4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1846F2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74CC7E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271B6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6867A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CACF74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49790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0245726"/>
    <w:multiLevelType w:val="hybridMultilevel"/>
    <w:tmpl w:val="43B04A20"/>
    <w:lvl w:ilvl="0" w:tplc="431CE452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E2DA8E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63E22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CE7AEA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426D4A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9CB1B2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7C0C0A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6A15E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2CD3F2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7A5182D"/>
    <w:multiLevelType w:val="hybridMultilevel"/>
    <w:tmpl w:val="3836EE00"/>
    <w:lvl w:ilvl="0" w:tplc="0E9495C8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38682C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6E8FB2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A7110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0A464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560798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323708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74D3A4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87D38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B060704"/>
    <w:multiLevelType w:val="hybridMultilevel"/>
    <w:tmpl w:val="9D381CD2"/>
    <w:lvl w:ilvl="0" w:tplc="23EC991E">
      <w:start w:val="1"/>
      <w:numFmt w:val="bullet"/>
      <w:lvlText w:val="-"/>
      <w:lvlJc w:val="left"/>
      <w:pPr>
        <w:ind w:left="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02692">
      <w:start w:val="1"/>
      <w:numFmt w:val="bullet"/>
      <w:lvlText w:val="-"/>
      <w:lvlJc w:val="left"/>
      <w:pPr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4E7984">
      <w:start w:val="1"/>
      <w:numFmt w:val="bullet"/>
      <w:lvlText w:val="-"/>
      <w:lvlJc w:val="left"/>
      <w:pPr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26B2E">
      <w:start w:val="1"/>
      <w:numFmt w:val="bullet"/>
      <w:lvlText w:val="-"/>
      <w:lvlJc w:val="left"/>
      <w:pPr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8A470">
      <w:start w:val="1"/>
      <w:numFmt w:val="bullet"/>
      <w:lvlText w:val="-"/>
      <w:lvlJc w:val="left"/>
      <w:pPr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6992E">
      <w:start w:val="1"/>
      <w:numFmt w:val="bullet"/>
      <w:lvlText w:val="-"/>
      <w:lvlJc w:val="left"/>
      <w:pPr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61E3C">
      <w:start w:val="1"/>
      <w:numFmt w:val="bullet"/>
      <w:lvlText w:val="-"/>
      <w:lvlJc w:val="left"/>
      <w:pPr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82918">
      <w:start w:val="1"/>
      <w:numFmt w:val="bullet"/>
      <w:lvlText w:val="-"/>
      <w:lvlJc w:val="left"/>
      <w:pPr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675C0">
      <w:start w:val="1"/>
      <w:numFmt w:val="bullet"/>
      <w:lvlText w:val="-"/>
      <w:lvlJc w:val="left"/>
      <w:pPr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lvl w:ilvl="0" w:tplc="431CE452">
        <w:start w:val="1"/>
        <w:numFmt w:val="bullet"/>
        <w:lvlText w:val="-"/>
        <w:lvlJc w:val="left"/>
        <w:pPr>
          <w:ind w:left="1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E2DA8E">
        <w:start w:val="1"/>
        <w:numFmt w:val="bullet"/>
        <w:lvlText w:val="-"/>
        <w:lvlJc w:val="left"/>
        <w:pPr>
          <w:ind w:left="7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F63E22">
        <w:start w:val="1"/>
        <w:numFmt w:val="bullet"/>
        <w:lvlText w:val="-"/>
        <w:lvlJc w:val="left"/>
        <w:pPr>
          <w:ind w:left="13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CE7AEA">
        <w:start w:val="1"/>
        <w:numFmt w:val="bullet"/>
        <w:lvlText w:val="-"/>
        <w:lvlJc w:val="left"/>
        <w:pPr>
          <w:ind w:left="19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426D4A">
        <w:start w:val="1"/>
        <w:numFmt w:val="bullet"/>
        <w:lvlText w:val="-"/>
        <w:lvlJc w:val="left"/>
        <w:pPr>
          <w:ind w:left="25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9CB1B2">
        <w:start w:val="1"/>
        <w:numFmt w:val="bullet"/>
        <w:lvlText w:val="-"/>
        <w:lvlJc w:val="left"/>
        <w:pPr>
          <w:ind w:left="31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7C0C0A">
        <w:start w:val="1"/>
        <w:numFmt w:val="bullet"/>
        <w:lvlText w:val="-"/>
        <w:lvlJc w:val="left"/>
        <w:pPr>
          <w:ind w:left="37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86A15E">
        <w:start w:val="1"/>
        <w:numFmt w:val="bullet"/>
        <w:lvlText w:val="-"/>
        <w:lvlJc w:val="left"/>
        <w:pPr>
          <w:ind w:left="43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2CD3F2">
        <w:start w:val="1"/>
        <w:numFmt w:val="bullet"/>
        <w:lvlText w:val="-"/>
        <w:lvlJc w:val="left"/>
        <w:pPr>
          <w:ind w:left="4989" w:hanging="189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2A"/>
    <w:rsid w:val="0006291B"/>
    <w:rsid w:val="001D3041"/>
    <w:rsid w:val="006A08FB"/>
    <w:rsid w:val="008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6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sid w:val="0006291B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741</Words>
  <Characters>4225</Characters>
  <Application>Microsoft Macintosh Word</Application>
  <DocSecurity>0</DocSecurity>
  <Lines>35</Lines>
  <Paragraphs>9</Paragraphs>
  <ScaleCrop>false</ScaleCrop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Gabrielle Roberts</cp:lastModifiedBy>
  <cp:revision>3</cp:revision>
  <dcterms:created xsi:type="dcterms:W3CDTF">2018-10-07T17:03:00Z</dcterms:created>
  <dcterms:modified xsi:type="dcterms:W3CDTF">2018-10-07T17:05:00Z</dcterms:modified>
</cp:coreProperties>
</file>