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BE57" w14:textId="06D27AE6" w:rsidR="00BE3A7E" w:rsidRPr="006B1D16" w:rsidRDefault="00071719" w:rsidP="006B1D16">
      <w:pPr>
        <w:jc w:val="center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EQUIPMENT USED FOR</w:t>
      </w:r>
      <w:r w:rsidR="00BE3A7E" w:rsidRPr="006B1D16">
        <w:rPr>
          <w:b/>
          <w:sz w:val="24"/>
          <w:szCs w:val="24"/>
          <w:u w:val="thick"/>
        </w:rPr>
        <w:t xml:space="preserve"> DISBUDDING AN</w:t>
      </w:r>
      <w:r w:rsidR="00741A3A" w:rsidRPr="006B1D16">
        <w:rPr>
          <w:b/>
          <w:sz w:val="24"/>
          <w:szCs w:val="24"/>
          <w:u w:val="thick"/>
        </w:rPr>
        <w:t>D</w:t>
      </w:r>
      <w:r w:rsidR="00BE3A7E" w:rsidRPr="006B1D16">
        <w:rPr>
          <w:b/>
          <w:sz w:val="24"/>
          <w:szCs w:val="24"/>
          <w:u w:val="thick"/>
        </w:rPr>
        <w:t xml:space="preserve"> DEHORNING SMALL AND LARGE RUMINANTS</w:t>
      </w:r>
    </w:p>
    <w:p w14:paraId="52A6AF68" w14:textId="77777777" w:rsidR="00741A3A" w:rsidRPr="002A38E5" w:rsidRDefault="00741A3A" w:rsidP="002A38E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3516"/>
        <w:gridCol w:w="2766"/>
      </w:tblGrid>
      <w:tr w:rsidR="006C1E43" w:rsidRPr="002A38E5" w14:paraId="3D2DA386" w14:textId="768C4157" w:rsidTr="00741A3A">
        <w:tc>
          <w:tcPr>
            <w:tcW w:w="3067" w:type="dxa"/>
          </w:tcPr>
          <w:p w14:paraId="52582CC0" w14:textId="2CF299C3" w:rsidR="00741A3A" w:rsidRPr="002A38E5" w:rsidRDefault="00741A3A" w:rsidP="002A38E5">
            <w:pPr>
              <w:rPr>
                <w:sz w:val="24"/>
                <w:szCs w:val="24"/>
              </w:rPr>
            </w:pPr>
            <w:r w:rsidRPr="002A38E5">
              <w:rPr>
                <w:sz w:val="24"/>
                <w:szCs w:val="24"/>
              </w:rPr>
              <w:t>Name</w:t>
            </w:r>
          </w:p>
        </w:tc>
        <w:tc>
          <w:tcPr>
            <w:tcW w:w="3111" w:type="dxa"/>
          </w:tcPr>
          <w:p w14:paraId="1BB9ACFA" w14:textId="1D3BAE07" w:rsidR="00741A3A" w:rsidRPr="002A38E5" w:rsidRDefault="00741A3A" w:rsidP="002A38E5">
            <w:pPr>
              <w:rPr>
                <w:sz w:val="24"/>
                <w:szCs w:val="24"/>
              </w:rPr>
            </w:pPr>
            <w:r w:rsidRPr="002A38E5">
              <w:rPr>
                <w:sz w:val="24"/>
                <w:szCs w:val="24"/>
              </w:rPr>
              <w:t>Picture</w:t>
            </w:r>
          </w:p>
        </w:tc>
        <w:tc>
          <w:tcPr>
            <w:tcW w:w="2838" w:type="dxa"/>
          </w:tcPr>
          <w:p w14:paraId="7DB3926D" w14:textId="7C937E84" w:rsidR="00741A3A" w:rsidRPr="002A38E5" w:rsidRDefault="00741A3A" w:rsidP="002A38E5">
            <w:pPr>
              <w:rPr>
                <w:sz w:val="24"/>
                <w:szCs w:val="24"/>
              </w:rPr>
            </w:pPr>
            <w:r w:rsidRPr="002A38E5">
              <w:rPr>
                <w:sz w:val="24"/>
                <w:szCs w:val="24"/>
              </w:rPr>
              <w:t>Used for</w:t>
            </w:r>
          </w:p>
        </w:tc>
      </w:tr>
      <w:tr w:rsidR="006C1E43" w:rsidRPr="002A38E5" w14:paraId="58994395" w14:textId="42D24854" w:rsidTr="00741A3A">
        <w:tc>
          <w:tcPr>
            <w:tcW w:w="3067" w:type="dxa"/>
          </w:tcPr>
          <w:p w14:paraId="1AE72812" w14:textId="5D2E6DEC" w:rsidR="00741A3A" w:rsidRPr="002A38E5" w:rsidRDefault="00741A3A" w:rsidP="002A38E5">
            <w:pPr>
              <w:rPr>
                <w:sz w:val="24"/>
                <w:szCs w:val="24"/>
              </w:rPr>
            </w:pPr>
            <w:r w:rsidRPr="002A38E5">
              <w:rPr>
                <w:sz w:val="24"/>
                <w:szCs w:val="24"/>
              </w:rPr>
              <w:t>Disbudding iron</w:t>
            </w:r>
          </w:p>
        </w:tc>
        <w:tc>
          <w:tcPr>
            <w:tcW w:w="3111" w:type="dxa"/>
          </w:tcPr>
          <w:p w14:paraId="30F8EC98" w14:textId="02269931" w:rsidR="00741A3A" w:rsidRPr="002A38E5" w:rsidRDefault="002A38E5" w:rsidP="002A38E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95A3B0" wp14:editId="5E4B311B">
                  <wp:extent cx="1939694" cy="1171575"/>
                  <wp:effectExtent l="0" t="0" r="3810" b="0"/>
                  <wp:docPr id="2" name="Picture 2" descr="Image result for tube/cup/spoon deho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ube/cup/spoon deho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242" cy="117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182D8C5E" w14:textId="3C9866FD" w:rsidR="00741A3A" w:rsidRPr="002A38E5" w:rsidRDefault="002A38E5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Disbudding: D</w:t>
            </w:r>
            <w:r w:rsidR="00741A3A" w:rsidRPr="002A38E5">
              <w:rPr>
                <w:sz w:val="24"/>
                <w:szCs w:val="24"/>
              </w:rPr>
              <w:t>estroys horn-</w:t>
            </w:r>
            <w:r>
              <w:rPr>
                <w:sz w:val="24"/>
                <w:szCs w:val="24"/>
              </w:rPr>
              <w:t xml:space="preserve">producing cells in the horn buds and surrounding skin which are </w:t>
            </w:r>
            <w:r w:rsidRPr="002A38E5">
              <w:rPr>
                <w:sz w:val="24"/>
                <w:szCs w:val="24"/>
              </w:rPr>
              <w:t>free-floating and not yet attached to the frontal bone of the skull.</w:t>
            </w:r>
          </w:p>
        </w:tc>
      </w:tr>
      <w:tr w:rsidR="006C1E43" w:rsidRPr="002A38E5" w14:paraId="67E23FF3" w14:textId="35672CF0" w:rsidTr="00741A3A">
        <w:tc>
          <w:tcPr>
            <w:tcW w:w="3067" w:type="dxa"/>
          </w:tcPr>
          <w:p w14:paraId="0AC28618" w14:textId="4619A5CA" w:rsidR="00741A3A" w:rsidRPr="002A38E5" w:rsidRDefault="00F63EB4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Tube, Cup or Spoon Dehorner</w:t>
            </w:r>
          </w:p>
        </w:tc>
        <w:tc>
          <w:tcPr>
            <w:tcW w:w="3111" w:type="dxa"/>
          </w:tcPr>
          <w:p w14:paraId="639F0DD3" w14:textId="30A133FC" w:rsidR="00741A3A" w:rsidRPr="002A38E5" w:rsidRDefault="002A38E5" w:rsidP="00B072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886201" wp14:editId="7C6B9EAF">
                  <wp:extent cx="1362075" cy="1362075"/>
                  <wp:effectExtent l="0" t="0" r="9525" b="9525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5233B2F4" w14:textId="2C60149D" w:rsidR="00741A3A" w:rsidRPr="002A38E5" w:rsidRDefault="002A38E5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Disbudding: </w:t>
            </w:r>
            <w:r w:rsidR="00F63EB4">
              <w:rPr>
                <w:sz w:val="24"/>
                <w:szCs w:val="24"/>
              </w:rPr>
              <w:t>The</w:t>
            </w:r>
            <w:r w:rsidR="00F63EB4" w:rsidRPr="00F63EB4">
              <w:rPr>
                <w:sz w:val="24"/>
                <w:szCs w:val="24"/>
              </w:rPr>
              <w:t xml:space="preserve"> circular blade is pushed into the skin around the horn bud, then rotated and tilted to gouge out the horn</w:t>
            </w:r>
            <w:r w:rsidR="00F63EB4">
              <w:rPr>
                <w:sz w:val="24"/>
                <w:szCs w:val="24"/>
              </w:rPr>
              <w:t xml:space="preserve"> bud.</w:t>
            </w:r>
          </w:p>
        </w:tc>
      </w:tr>
      <w:tr w:rsidR="006C1E43" w:rsidRPr="002A38E5" w14:paraId="43A51A58" w14:textId="7CD6AA9B" w:rsidTr="00741A3A">
        <w:tc>
          <w:tcPr>
            <w:tcW w:w="3067" w:type="dxa"/>
          </w:tcPr>
          <w:p w14:paraId="6DBC477C" w14:textId="0AABBAF6" w:rsidR="00741A3A" w:rsidRPr="002A38E5" w:rsidRDefault="00B07251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Gigli Wire</w:t>
            </w:r>
            <w:r w:rsidR="00F63EB4">
              <w:rPr>
                <w:sz w:val="24"/>
                <w:szCs w:val="24"/>
              </w:rPr>
              <w:t>/</w:t>
            </w:r>
            <w:r w:rsidR="00F63EB4">
              <w:t xml:space="preserve"> </w:t>
            </w:r>
            <w:r w:rsidR="00F63EB4" w:rsidRPr="00F63EB4">
              <w:rPr>
                <w:sz w:val="24"/>
                <w:szCs w:val="24"/>
              </w:rPr>
              <w:t>Obstetri</w:t>
            </w:r>
            <w:r w:rsidR="00F63EB4">
              <w:rPr>
                <w:sz w:val="24"/>
                <w:szCs w:val="24"/>
              </w:rPr>
              <w:t xml:space="preserve">cal or </w:t>
            </w:r>
            <w:proofErr w:type="spellStart"/>
            <w:r w:rsidR="00F63EB4">
              <w:rPr>
                <w:sz w:val="24"/>
                <w:szCs w:val="24"/>
              </w:rPr>
              <w:t>Embryotomy</w:t>
            </w:r>
            <w:proofErr w:type="spellEnd"/>
            <w:r w:rsidR="00F63EB4">
              <w:rPr>
                <w:sz w:val="24"/>
                <w:szCs w:val="24"/>
              </w:rPr>
              <w:t xml:space="preserve"> Wire </w:t>
            </w:r>
          </w:p>
        </w:tc>
        <w:tc>
          <w:tcPr>
            <w:tcW w:w="3111" w:type="dxa"/>
          </w:tcPr>
          <w:p w14:paraId="6B0F43B3" w14:textId="39F22B40" w:rsidR="00741A3A" w:rsidRPr="002A38E5" w:rsidRDefault="00B07251" w:rsidP="00B072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B8DC1D" wp14:editId="02505C47">
                  <wp:extent cx="1628775" cy="1316050"/>
                  <wp:effectExtent l="0" t="0" r="0" b="0"/>
                  <wp:docPr id="3" name="Picture 3" descr="Image result for tube/cup/spoon deho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ube/cup/spoon deho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786" cy="131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525BEC40" w14:textId="1336FF9A" w:rsidR="00741A3A" w:rsidRPr="002A38E5" w:rsidRDefault="00B07251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Dehorning:</w:t>
            </w:r>
            <w:r w:rsidR="00071719">
              <w:rPr>
                <w:sz w:val="24"/>
                <w:szCs w:val="24"/>
              </w:rPr>
              <w:t xml:space="preserve"> </w:t>
            </w:r>
            <w:r w:rsidR="00071719" w:rsidRPr="00071719">
              <w:rPr>
                <w:sz w:val="24"/>
                <w:szCs w:val="24"/>
              </w:rPr>
              <w:t>A long piece of wire is attached to two handles, then moved back and forth rapidly to saw through the horn base plus a ½-inch circle of skin.</w:t>
            </w:r>
          </w:p>
        </w:tc>
      </w:tr>
      <w:tr w:rsidR="006C1E43" w:rsidRPr="002A38E5" w14:paraId="771A25A7" w14:textId="241559F1" w:rsidTr="00741A3A">
        <w:tc>
          <w:tcPr>
            <w:tcW w:w="3067" w:type="dxa"/>
          </w:tcPr>
          <w:p w14:paraId="2FF08699" w14:textId="0B2C881E" w:rsidR="00741A3A" w:rsidRPr="002A38E5" w:rsidRDefault="00F63EB4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Barnes or “Gouger” Dehorner</w:t>
            </w:r>
          </w:p>
        </w:tc>
        <w:tc>
          <w:tcPr>
            <w:tcW w:w="3111" w:type="dxa"/>
          </w:tcPr>
          <w:p w14:paraId="2A6E885F" w14:textId="77777777" w:rsidR="00295E5F" w:rsidRDefault="00295E5F" w:rsidP="00295E5F">
            <w:pPr>
              <w:jc w:val="center"/>
              <w:rPr>
                <w:sz w:val="24"/>
                <w:szCs w:val="24"/>
              </w:rPr>
            </w:pPr>
          </w:p>
          <w:p w14:paraId="39687340" w14:textId="76295353" w:rsidR="00741A3A" w:rsidRPr="002A38E5" w:rsidRDefault="00B07251" w:rsidP="00295E5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3E29F5" wp14:editId="5A2F3B3C">
                  <wp:extent cx="1909961" cy="1466850"/>
                  <wp:effectExtent l="0" t="0" r="0" b="0"/>
                  <wp:docPr id="4" name="Picture 4" descr="Image result for tube/cup/spoon deho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ube/cup/spoon deho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961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62283BFB" w14:textId="0F866FA4" w:rsidR="00741A3A" w:rsidRPr="002A38E5" w:rsidRDefault="00F63EB4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Disbudding/</w:t>
            </w:r>
            <w:r w:rsidR="00B07251">
              <w:rPr>
                <w:sz w:val="24"/>
                <w:szCs w:val="24"/>
              </w:rPr>
              <w:t>Dehorning:</w:t>
            </w:r>
            <w:r>
              <w:rPr>
                <w:sz w:val="24"/>
                <w:szCs w:val="24"/>
              </w:rPr>
              <w:t xml:space="preserve"> </w:t>
            </w:r>
            <w:r w:rsidRPr="00F63EB4">
              <w:rPr>
                <w:sz w:val="24"/>
                <w:szCs w:val="24"/>
              </w:rPr>
              <w:t>hinged, closed set of sharp scoops</w:t>
            </w:r>
            <w:r>
              <w:rPr>
                <w:sz w:val="24"/>
                <w:szCs w:val="24"/>
              </w:rPr>
              <w:t xml:space="preserve">. </w:t>
            </w:r>
            <w:r w:rsidRPr="00F63EB4">
              <w:rPr>
                <w:sz w:val="24"/>
                <w:szCs w:val="24"/>
              </w:rPr>
              <w:t xml:space="preserve">Opening the handles </w:t>
            </w:r>
            <w:r>
              <w:rPr>
                <w:sz w:val="24"/>
                <w:szCs w:val="24"/>
              </w:rPr>
              <w:t xml:space="preserve">with the tool at the </w:t>
            </w:r>
            <w:r w:rsidRPr="00F63EB4">
              <w:rPr>
                <w:sz w:val="24"/>
                <w:szCs w:val="24"/>
              </w:rPr>
              <w:t xml:space="preserve">base </w:t>
            </w:r>
            <w:r>
              <w:rPr>
                <w:sz w:val="24"/>
                <w:szCs w:val="24"/>
              </w:rPr>
              <w:t xml:space="preserve">of the horn and surrounding skin </w:t>
            </w:r>
            <w:r w:rsidRPr="00F63EB4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ces the cutting edges together </w:t>
            </w:r>
            <w:r w:rsidRPr="00F63EB4">
              <w:rPr>
                <w:sz w:val="24"/>
                <w:szCs w:val="24"/>
              </w:rPr>
              <w:t>slicing through the skin and under the horn.</w:t>
            </w:r>
          </w:p>
        </w:tc>
      </w:tr>
      <w:tr w:rsidR="006C1E43" w:rsidRPr="002A38E5" w14:paraId="49223A2B" w14:textId="10C83D27" w:rsidTr="00741A3A">
        <w:tc>
          <w:tcPr>
            <w:tcW w:w="3067" w:type="dxa"/>
          </w:tcPr>
          <w:p w14:paraId="41237BD7" w14:textId="5292F90A" w:rsidR="00741A3A" w:rsidRPr="002A38E5" w:rsidRDefault="00295E5F" w:rsidP="002A38E5">
            <w:pPr>
              <w:rPr>
                <w:sz w:val="24"/>
                <w:szCs w:val="24"/>
              </w:rPr>
            </w:pPr>
            <w:r w:rsidRPr="00295E5F">
              <w:rPr>
                <w:sz w:val="24"/>
                <w:szCs w:val="24"/>
              </w:rPr>
              <w:t>Knife Dehorning</w:t>
            </w:r>
          </w:p>
        </w:tc>
        <w:tc>
          <w:tcPr>
            <w:tcW w:w="3111" w:type="dxa"/>
          </w:tcPr>
          <w:p w14:paraId="0952D0D5" w14:textId="5BCFADB2" w:rsidR="00741A3A" w:rsidRPr="002A38E5" w:rsidRDefault="00295E5F" w:rsidP="00295E5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050F86" wp14:editId="467119FE">
                  <wp:extent cx="2095500" cy="1324356"/>
                  <wp:effectExtent l="0" t="0" r="0" b="9525"/>
                  <wp:docPr id="7" name="Picture 7" descr="Knife Used for Dehorning Ca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nife Used for Dehorning Ca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141" cy="132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6CDEAA87" w14:textId="60B975B5" w:rsidR="00741A3A" w:rsidRPr="002A38E5" w:rsidRDefault="00071719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Disbudding/</w:t>
            </w:r>
            <w:bookmarkStart w:id="0" w:name="_GoBack"/>
            <w:bookmarkEnd w:id="0"/>
            <w:r w:rsidR="00295E5F">
              <w:rPr>
                <w:sz w:val="24"/>
                <w:szCs w:val="24"/>
              </w:rPr>
              <w:t xml:space="preserve">Dehorning: A </w:t>
            </w:r>
            <w:r w:rsidR="00295E5F" w:rsidRPr="00295E5F">
              <w:rPr>
                <w:sz w:val="24"/>
                <w:szCs w:val="24"/>
              </w:rPr>
              <w:t>knife is used to cut away skin around and under the horn bud, surgically removing the horn from the base tissue</w:t>
            </w:r>
            <w:r w:rsidR="00295E5F">
              <w:rPr>
                <w:sz w:val="24"/>
                <w:szCs w:val="24"/>
              </w:rPr>
              <w:t xml:space="preserve">. Cauterization is need after to control haemorrhage. </w:t>
            </w:r>
          </w:p>
        </w:tc>
      </w:tr>
      <w:tr w:rsidR="006C1E43" w:rsidRPr="002A38E5" w14:paraId="4CF78C7F" w14:textId="566B3F52" w:rsidTr="00741A3A">
        <w:tc>
          <w:tcPr>
            <w:tcW w:w="3067" w:type="dxa"/>
          </w:tcPr>
          <w:p w14:paraId="411E65B4" w14:textId="0C2FA051" w:rsidR="00741A3A" w:rsidRPr="002A38E5" w:rsidRDefault="002A38E5" w:rsidP="002A38E5">
            <w:pPr>
              <w:rPr>
                <w:sz w:val="24"/>
                <w:szCs w:val="24"/>
              </w:rPr>
            </w:pPr>
            <w:r w:rsidRPr="002A38E5">
              <w:rPr>
                <w:sz w:val="24"/>
                <w:szCs w:val="24"/>
              </w:rPr>
              <w:lastRenderedPageBreak/>
              <w:t>Caustic paste</w:t>
            </w:r>
          </w:p>
        </w:tc>
        <w:tc>
          <w:tcPr>
            <w:tcW w:w="3111" w:type="dxa"/>
          </w:tcPr>
          <w:p w14:paraId="46307B50" w14:textId="61137BE6" w:rsidR="00741A3A" w:rsidRPr="002A38E5" w:rsidRDefault="00F63EB4" w:rsidP="00F63EB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176201" wp14:editId="2EE67CC4">
                  <wp:extent cx="1400175" cy="1758620"/>
                  <wp:effectExtent l="0" t="0" r="0" b="0"/>
                  <wp:docPr id="5" name="Picture 5" descr="Dehorning Paste 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horning Paste 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60" cy="176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6B69037B" w14:textId="1046EA22" w:rsidR="00741A3A" w:rsidRPr="002A38E5" w:rsidRDefault="002A38E5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Disbudding: </w:t>
            </w:r>
            <w:r w:rsidR="00F63EB4">
              <w:rPr>
                <w:sz w:val="24"/>
                <w:szCs w:val="24"/>
              </w:rPr>
              <w:t>C</w:t>
            </w:r>
            <w:r w:rsidR="00F63EB4" w:rsidRPr="00F63EB4">
              <w:rPr>
                <w:sz w:val="24"/>
                <w:szCs w:val="24"/>
              </w:rPr>
              <w:t>austic substances in dehorning paste cauterizes tissue and prevents horn growt</w:t>
            </w:r>
            <w:r w:rsidR="00F63EB4">
              <w:rPr>
                <w:sz w:val="24"/>
                <w:szCs w:val="24"/>
              </w:rPr>
              <w:t xml:space="preserve">h by killing the </w:t>
            </w:r>
            <w:r w:rsidRPr="002A38E5">
              <w:rPr>
                <w:sz w:val="24"/>
                <w:szCs w:val="24"/>
              </w:rPr>
              <w:t>horn-</w:t>
            </w:r>
            <w:r w:rsidR="00F63EB4">
              <w:rPr>
                <w:sz w:val="24"/>
                <w:szCs w:val="24"/>
              </w:rPr>
              <w:t xml:space="preserve">producing cells </w:t>
            </w:r>
            <w:r>
              <w:rPr>
                <w:sz w:val="24"/>
                <w:szCs w:val="24"/>
              </w:rPr>
              <w:t xml:space="preserve">which are </w:t>
            </w:r>
            <w:r w:rsidRPr="002A38E5">
              <w:rPr>
                <w:sz w:val="24"/>
                <w:szCs w:val="24"/>
              </w:rPr>
              <w:t>free-floating and not yet attached to the frontal bone of the skull.</w:t>
            </w:r>
          </w:p>
        </w:tc>
      </w:tr>
      <w:tr w:rsidR="006C1E43" w:rsidRPr="002A38E5" w14:paraId="6065FE33" w14:textId="77777777" w:rsidTr="00741A3A">
        <w:tc>
          <w:tcPr>
            <w:tcW w:w="3067" w:type="dxa"/>
          </w:tcPr>
          <w:p w14:paraId="79D6A33B" w14:textId="5C2A7B56" w:rsidR="00295E5F" w:rsidRPr="002A38E5" w:rsidRDefault="00295E5F" w:rsidP="002A38E5">
            <w:pPr>
              <w:rPr>
                <w:sz w:val="24"/>
                <w:szCs w:val="24"/>
              </w:rPr>
            </w:pPr>
            <w:r w:rsidRPr="00295E5F">
              <w:rPr>
                <w:sz w:val="24"/>
                <w:szCs w:val="24"/>
              </w:rPr>
              <w:t>Ke</w:t>
            </w:r>
            <w:r>
              <w:rPr>
                <w:sz w:val="24"/>
                <w:szCs w:val="24"/>
              </w:rPr>
              <w:t>ystone or “Guillotine” Dehorner</w:t>
            </w:r>
          </w:p>
        </w:tc>
        <w:tc>
          <w:tcPr>
            <w:tcW w:w="3111" w:type="dxa"/>
          </w:tcPr>
          <w:p w14:paraId="3A411947" w14:textId="7E0523DC" w:rsidR="00295E5F" w:rsidRDefault="006C1E43" w:rsidP="00F63E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5456A6" wp14:editId="03E4107C">
                  <wp:extent cx="1581150" cy="1442265"/>
                  <wp:effectExtent l="0" t="0" r="0" b="5715"/>
                  <wp:docPr id="8" name="Picture 8" descr="Image result for Keystone or âGuillotineâ Deho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Keystone or âGuillotineâ Deho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76" cy="145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6E738298" w14:textId="7D3A8BDE" w:rsidR="00295E5F" w:rsidRDefault="006C1E43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Dehorning: Uses the two </w:t>
            </w:r>
            <w:r w:rsidRPr="006C1E43">
              <w:rPr>
                <w:sz w:val="24"/>
                <w:szCs w:val="24"/>
              </w:rPr>
              <w:t>handles that move a blade downward against a plate or another blade, slicing through the base of the horn and surrounding skin.</w:t>
            </w:r>
          </w:p>
        </w:tc>
      </w:tr>
      <w:tr w:rsidR="006C1E43" w:rsidRPr="002A38E5" w14:paraId="0CA4561D" w14:textId="77777777" w:rsidTr="00741A3A">
        <w:tc>
          <w:tcPr>
            <w:tcW w:w="3067" w:type="dxa"/>
          </w:tcPr>
          <w:p w14:paraId="3A7824C1" w14:textId="3911A5E8" w:rsidR="006C1E43" w:rsidRPr="00295E5F" w:rsidRDefault="006C1E43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Saw Dehorner</w:t>
            </w:r>
          </w:p>
        </w:tc>
        <w:tc>
          <w:tcPr>
            <w:tcW w:w="3111" w:type="dxa"/>
          </w:tcPr>
          <w:p w14:paraId="2E26D981" w14:textId="31CAEE87" w:rsidR="006C1E43" w:rsidRDefault="006C1E43" w:rsidP="00F63E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2D83D7" wp14:editId="5EB05F03">
                  <wp:extent cx="1819275" cy="1561609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072" cy="156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</w:tcPr>
          <w:p w14:paraId="2372F817" w14:textId="6FD63B06" w:rsidR="006C1E43" w:rsidRDefault="006C1E43" w:rsidP="002A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Dehorning:</w:t>
            </w:r>
            <w:r>
              <w:t xml:space="preserve"> </w:t>
            </w:r>
            <w:r w:rsidRPr="006C1E43">
              <w:rPr>
                <w:sz w:val="24"/>
                <w:szCs w:val="24"/>
              </w:rPr>
              <w:t>a hand saw is used to remove the horn along with a ½-inch ring of skin around the horn base.</w:t>
            </w:r>
          </w:p>
        </w:tc>
      </w:tr>
    </w:tbl>
    <w:p w14:paraId="012D33B0" w14:textId="2F39DBD8" w:rsidR="00741A3A" w:rsidRDefault="00741A3A" w:rsidP="002A38E5">
      <w:pPr>
        <w:rPr>
          <w:b/>
          <w:sz w:val="24"/>
          <w:szCs w:val="24"/>
        </w:rPr>
      </w:pPr>
    </w:p>
    <w:p w14:paraId="59B3BA92" w14:textId="3DB9DBEB" w:rsidR="006C1E43" w:rsidRPr="00D31D67" w:rsidRDefault="006C1E43" w:rsidP="002A38E5">
      <w:pPr>
        <w:rPr>
          <w:sz w:val="24"/>
          <w:szCs w:val="24"/>
        </w:rPr>
      </w:pPr>
      <w:r w:rsidRPr="00D31D67">
        <w:rPr>
          <w:sz w:val="24"/>
          <w:szCs w:val="24"/>
        </w:rPr>
        <w:t>References</w:t>
      </w:r>
    </w:p>
    <w:p w14:paraId="1E369FFD" w14:textId="071D2882" w:rsidR="006C1E43" w:rsidRPr="00D31D67" w:rsidRDefault="006C1E43" w:rsidP="00D31D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1D67">
        <w:rPr>
          <w:sz w:val="24"/>
          <w:szCs w:val="24"/>
        </w:rPr>
        <w:t xml:space="preserve">Inc. H. Dehorning Methods [Internet]. Dehorning.com. 2018 [cited 30 September 2018]. Available from: </w:t>
      </w:r>
      <w:hyperlink r:id="rId13" w:history="1">
        <w:r w:rsidR="00D31D67" w:rsidRPr="00D31D67">
          <w:rPr>
            <w:rStyle w:val="Hyperlink"/>
            <w:sz w:val="24"/>
            <w:szCs w:val="24"/>
          </w:rPr>
          <w:t>http://www.dehorning.com/dehorning-methods</w:t>
        </w:r>
      </w:hyperlink>
    </w:p>
    <w:p w14:paraId="722BEC6F" w14:textId="77777777" w:rsidR="00D31D67" w:rsidRPr="00D31D67" w:rsidRDefault="00D31D67" w:rsidP="00D31D67">
      <w:pPr>
        <w:pStyle w:val="ListParagraph"/>
        <w:rPr>
          <w:b/>
          <w:sz w:val="24"/>
          <w:szCs w:val="24"/>
        </w:rPr>
      </w:pPr>
    </w:p>
    <w:p w14:paraId="69500417" w14:textId="77777777" w:rsidR="006C1E43" w:rsidRPr="002A38E5" w:rsidRDefault="006C1E43" w:rsidP="002A38E5">
      <w:pPr>
        <w:rPr>
          <w:b/>
          <w:sz w:val="24"/>
          <w:szCs w:val="24"/>
        </w:rPr>
      </w:pPr>
    </w:p>
    <w:sectPr w:rsidR="006C1E43" w:rsidRPr="002A3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840"/>
    <w:multiLevelType w:val="hybridMultilevel"/>
    <w:tmpl w:val="6EF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7E"/>
    <w:rsid w:val="00071719"/>
    <w:rsid w:val="00295E5F"/>
    <w:rsid w:val="002A38E5"/>
    <w:rsid w:val="006B1D16"/>
    <w:rsid w:val="006C1E43"/>
    <w:rsid w:val="00741A3A"/>
    <w:rsid w:val="00B07251"/>
    <w:rsid w:val="00BE3A7E"/>
    <w:rsid w:val="00D31D67"/>
    <w:rsid w:val="00F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3BF2"/>
  <w15:chartTrackingRefBased/>
  <w15:docId w15:val="{450B5F93-BFC9-435A-9AB2-1BAF4CA9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D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dehorning.com/dehorning-metho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Holder</dc:creator>
  <cp:keywords/>
  <dc:description/>
  <cp:lastModifiedBy>Nadine Holder</cp:lastModifiedBy>
  <cp:revision>6</cp:revision>
  <dcterms:created xsi:type="dcterms:W3CDTF">2018-10-01T00:25:00Z</dcterms:created>
  <dcterms:modified xsi:type="dcterms:W3CDTF">2018-10-01T01:10:00Z</dcterms:modified>
</cp:coreProperties>
</file>