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4E27C7" w14:textId="01A7E2C8" w:rsidR="00A236C7" w:rsidRDefault="005A1B57">
      <w:r>
        <w:t>Sedation in Cattle:</w:t>
      </w:r>
    </w:p>
    <w:p w14:paraId="20B3B31A" w14:textId="18A81315" w:rsidR="000A4944" w:rsidRDefault="000A4944">
      <w:r>
        <w:t>The ketamine stun technique is a form of chemical restraint in ruminants where adding a small dose of ketamine to injectable chemical restraint cocktails can dramatically improve patient cooperation and systemic analgesia.</w:t>
      </w:r>
    </w:p>
    <w:p w14:paraId="02F0D863" w14:textId="5C0ECCD8" w:rsidR="000A4944" w:rsidRDefault="000A4944">
      <w:r>
        <w:rPr>
          <w:noProof/>
        </w:rPr>
        <w:drawing>
          <wp:inline distT="0" distB="0" distL="0" distR="0" wp14:anchorId="6436634F" wp14:editId="3DAD5CD3">
            <wp:extent cx="5372088" cy="1652954"/>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5">
                      <a:extLst>
                        <a:ext uri="{28A0092B-C50C-407E-A947-70E740481C1C}">
                          <a14:useLocalDpi xmlns:a14="http://schemas.microsoft.com/office/drawing/2010/main" val="0"/>
                        </a:ext>
                      </a:extLst>
                    </a:blip>
                    <a:srcRect l="7160" t="4210" r="-14375" b="40878"/>
                    <a:stretch/>
                  </pic:blipFill>
                  <pic:spPr bwMode="auto">
                    <a:xfrm>
                      <a:off x="0" y="0"/>
                      <a:ext cx="5372088" cy="1652954"/>
                    </a:xfrm>
                    <a:prstGeom prst="rect">
                      <a:avLst/>
                    </a:prstGeom>
                    <a:noFill/>
                    <a:ln>
                      <a:noFill/>
                    </a:ln>
                    <a:extLst>
                      <a:ext uri="{53640926-AAD7-44D8-BBD7-CCE9431645EC}">
                        <a14:shadowObscured xmlns:a14="http://schemas.microsoft.com/office/drawing/2010/main"/>
                      </a:ext>
                    </a:extLst>
                  </pic:spPr>
                </pic:pic>
              </a:graphicData>
            </a:graphic>
          </wp:inline>
        </w:drawing>
      </w:r>
    </w:p>
    <w:p w14:paraId="48D8EFAD" w14:textId="0946488C" w:rsidR="005A1B57" w:rsidRDefault="00387946">
      <w:r>
        <w:t xml:space="preserve">A Ketamine stun was used to provide a sedative effect on a cow to carry out the anaesthetic procedures. This was done by administering a drug combination of Xylazine 0.25mg/kg and Ketamine 0.05mg/kg intramuscularly. </w:t>
      </w:r>
    </w:p>
    <w:p w14:paraId="01F5E81D" w14:textId="2F6319DC" w:rsidR="000A4944" w:rsidRDefault="000A4944">
      <w:r>
        <w:t xml:space="preserve">Below </w:t>
      </w:r>
      <w:proofErr w:type="gramStart"/>
      <w:r>
        <w:t>shows</w:t>
      </w:r>
      <w:proofErr w:type="gramEnd"/>
      <w:r>
        <w:t xml:space="preserve"> some properties of the drugs used for sedation in the practical:</w:t>
      </w:r>
    </w:p>
    <w:p w14:paraId="607B9900" w14:textId="184B9664" w:rsidR="000A4944" w:rsidRPr="00975458" w:rsidRDefault="000A4944">
      <w:pPr>
        <w:rPr>
          <w:b/>
        </w:rPr>
      </w:pPr>
      <w:r w:rsidRPr="00975458">
        <w:rPr>
          <w:b/>
        </w:rPr>
        <w:t>Xylazine</w:t>
      </w:r>
      <w:r w:rsidR="00975458" w:rsidRPr="00975458">
        <w:rPr>
          <w:b/>
        </w:rPr>
        <w:t>:</w:t>
      </w:r>
    </w:p>
    <w:p w14:paraId="7F9239D3" w14:textId="0955F7EB" w:rsidR="000A4944" w:rsidRDefault="000A4944" w:rsidP="000A4944">
      <w:pPr>
        <w:pStyle w:val="ListParagraph"/>
        <w:numPr>
          <w:ilvl w:val="0"/>
          <w:numId w:val="1"/>
        </w:numPr>
      </w:pPr>
      <w:r>
        <w:t xml:space="preserve">A potent hypnotic which provides deep sedation and popular as </w:t>
      </w:r>
      <w:proofErr w:type="spellStart"/>
      <w:r>
        <w:t>premedicant</w:t>
      </w:r>
      <w:proofErr w:type="spellEnd"/>
      <w:r>
        <w:t xml:space="preserve"> </w:t>
      </w:r>
    </w:p>
    <w:p w14:paraId="3EFFD2BE" w14:textId="4214A9F8" w:rsidR="000A4944" w:rsidRDefault="000A4944" w:rsidP="000A4944">
      <w:pPr>
        <w:pStyle w:val="ListParagraph"/>
        <w:numPr>
          <w:ilvl w:val="0"/>
          <w:numId w:val="1"/>
        </w:numPr>
      </w:pPr>
      <w:r>
        <w:t xml:space="preserve">Onset of action following IV injection at 2 min, reaching peak effect in 5 minutes. </w:t>
      </w:r>
    </w:p>
    <w:p w14:paraId="1BC198CD" w14:textId="2183B93E" w:rsidR="000A4944" w:rsidRDefault="000A4944" w:rsidP="000A4944">
      <w:pPr>
        <w:pStyle w:val="ListParagraph"/>
        <w:numPr>
          <w:ilvl w:val="0"/>
          <w:numId w:val="1"/>
        </w:numPr>
      </w:pPr>
      <w:r>
        <w:t xml:space="preserve">Dose dependent severe cardiovascular effect: bradycardia AV dissociation, myocardial depression (decreased cardiac output) </w:t>
      </w:r>
    </w:p>
    <w:p w14:paraId="0BC0F693" w14:textId="0B33B690" w:rsidR="000A4944" w:rsidRDefault="000A4944" w:rsidP="000A4944">
      <w:pPr>
        <w:pStyle w:val="ListParagraph"/>
        <w:numPr>
          <w:ilvl w:val="0"/>
          <w:numId w:val="1"/>
        </w:numPr>
      </w:pPr>
      <w:r>
        <w:t xml:space="preserve">May cause hypoxemia and hypercapnia and pulmonary </w:t>
      </w:r>
      <w:r>
        <w:t>oedema</w:t>
      </w:r>
      <w:r>
        <w:t xml:space="preserve"> (this is most notable/ predictable in small ruminants, particularly in the sheep) </w:t>
      </w:r>
    </w:p>
    <w:p w14:paraId="58874169" w14:textId="14BB3AC2" w:rsidR="000A4944" w:rsidRDefault="000A4944" w:rsidP="000A4944">
      <w:pPr>
        <w:pStyle w:val="ListParagraph"/>
        <w:numPr>
          <w:ilvl w:val="1"/>
          <w:numId w:val="1"/>
        </w:numPr>
      </w:pPr>
      <w:r>
        <w:t xml:space="preserve">– 0.1 mg/kg IV (1/10th of equine dose) in cattle </w:t>
      </w:r>
    </w:p>
    <w:p w14:paraId="0ED07FFF" w14:textId="656DBE8D" w:rsidR="000A4944" w:rsidRDefault="000A4944" w:rsidP="000A4944">
      <w:pPr>
        <w:pStyle w:val="ListParagraph"/>
        <w:numPr>
          <w:ilvl w:val="1"/>
          <w:numId w:val="1"/>
        </w:numPr>
      </w:pPr>
      <w:r>
        <w:t xml:space="preserve">mg/kg IV provides sedation without </w:t>
      </w:r>
      <w:r>
        <w:t>recumbency,</w:t>
      </w:r>
      <w:r>
        <w:t xml:space="preserve"> but 0.2 -0.3 mg/kg IV provides recumbency in llamas </w:t>
      </w:r>
    </w:p>
    <w:p w14:paraId="5F66394E" w14:textId="52BCBFA6" w:rsidR="000A4944" w:rsidRDefault="000A4944" w:rsidP="000A4944">
      <w:pPr>
        <w:pStyle w:val="ListParagraph"/>
        <w:numPr>
          <w:ilvl w:val="0"/>
          <w:numId w:val="1"/>
        </w:numPr>
      </w:pPr>
      <w:r>
        <w:t>0</w:t>
      </w:r>
      <w:r>
        <w:t xml:space="preserve">.1 mg/kg IV will induce recumbency and light plane of </w:t>
      </w:r>
      <w:r>
        <w:t>anaesthesia</w:t>
      </w:r>
      <w:r>
        <w:t xml:space="preserve"> for an hour in cattle but recumbency may be induced even at a lower dose </w:t>
      </w:r>
    </w:p>
    <w:p w14:paraId="7EE5669A" w14:textId="47D5E74F" w:rsidR="000A4944" w:rsidRDefault="000A4944" w:rsidP="000A4944">
      <w:pPr>
        <w:pStyle w:val="ListParagraph"/>
        <w:numPr>
          <w:ilvl w:val="0"/>
          <w:numId w:val="1"/>
        </w:numPr>
      </w:pPr>
      <w:r>
        <w:t xml:space="preserve">Some variation of sensitivity </w:t>
      </w:r>
      <w:r>
        <w:t>t</w:t>
      </w:r>
      <w:r>
        <w:t xml:space="preserve">o Herefords </w:t>
      </w:r>
      <w:r>
        <w:t>has</w:t>
      </w:r>
      <w:r>
        <w:t xml:space="preserve"> been shown to be more sensitive than Holstein, and Brahmans seems most sensitive </w:t>
      </w:r>
    </w:p>
    <w:p w14:paraId="66C42432" w14:textId="77777777" w:rsidR="000A4944" w:rsidRDefault="000A4944" w:rsidP="000A4944">
      <w:pPr>
        <w:pStyle w:val="ListParagraph"/>
        <w:numPr>
          <w:ilvl w:val="0"/>
          <w:numId w:val="1"/>
        </w:numPr>
      </w:pPr>
      <w:r>
        <w:t>Other side effects</w:t>
      </w:r>
      <w:r>
        <w:t xml:space="preserve">: Hyperglycaemia, </w:t>
      </w:r>
      <w:r>
        <w:t>Diuresis</w:t>
      </w:r>
      <w:r>
        <w:t xml:space="preserve">, </w:t>
      </w:r>
      <w:r>
        <w:t>Sweating</w:t>
      </w:r>
      <w:r>
        <w:t xml:space="preserve">, </w:t>
      </w:r>
      <w:r>
        <w:t>GIT motility depression</w:t>
      </w:r>
      <w:r>
        <w:t xml:space="preserve">, </w:t>
      </w:r>
      <w:r>
        <w:t>Platelet aggregation</w:t>
      </w:r>
      <w:r>
        <w:t>,</w:t>
      </w:r>
      <w:r>
        <w:t xml:space="preserve"> Uterine contractions in cows. </w:t>
      </w:r>
      <w:proofErr w:type="spellStart"/>
      <w:r>
        <w:t>Detomidine</w:t>
      </w:r>
      <w:proofErr w:type="spellEnd"/>
      <w:r>
        <w:t xml:space="preserve"> in this regard has been regarded better alternative both in cows and mares.</w:t>
      </w:r>
      <w:r>
        <w:t xml:space="preserve"> </w:t>
      </w:r>
    </w:p>
    <w:p w14:paraId="10B72C0A" w14:textId="06863C4E" w:rsidR="000A4944" w:rsidRDefault="000A4944" w:rsidP="000A4944">
      <w:pPr>
        <w:pStyle w:val="ListParagraph"/>
        <w:numPr>
          <w:ilvl w:val="0"/>
          <w:numId w:val="1"/>
        </w:numPr>
      </w:pPr>
      <w:r w:rsidRPr="000A4944">
        <w:t xml:space="preserve">Reversal is carried out by using Tolazoline (or by other alpha 2 antagonists such as yohimbine or atipamezole) if </w:t>
      </w:r>
      <w:proofErr w:type="gramStart"/>
      <w:r w:rsidRPr="000A4944">
        <w:t>indicated(</w:t>
      </w:r>
      <w:proofErr w:type="gramEnd"/>
      <w:r w:rsidRPr="000A4944">
        <w:t>e.g. for expedient recovery)</w:t>
      </w:r>
    </w:p>
    <w:p w14:paraId="0ADE303D" w14:textId="3429BE0F" w:rsidR="00975458" w:rsidRDefault="000A4944">
      <w:r w:rsidRPr="00975458">
        <w:rPr>
          <w:b/>
        </w:rPr>
        <w:t>Ketamine</w:t>
      </w:r>
      <w:r w:rsidR="00975458">
        <w:t>:</w:t>
      </w:r>
    </w:p>
    <w:p w14:paraId="1520C484" w14:textId="63643B68" w:rsidR="00975458" w:rsidRDefault="000A4944" w:rsidP="00975458">
      <w:pPr>
        <w:pStyle w:val="ListParagraph"/>
        <w:numPr>
          <w:ilvl w:val="0"/>
          <w:numId w:val="4"/>
        </w:numPr>
      </w:pPr>
      <w:r w:rsidRPr="000A4944">
        <w:t xml:space="preserve">Ketamine alone will not cause seizure in </w:t>
      </w:r>
      <w:proofErr w:type="gramStart"/>
      <w:r w:rsidRPr="000A4944">
        <w:t>cattle</w:t>
      </w:r>
      <w:proofErr w:type="gramEnd"/>
      <w:r w:rsidRPr="000A4944">
        <w:t xml:space="preserve"> but the quality of induction is poor </w:t>
      </w:r>
    </w:p>
    <w:p w14:paraId="4B468462" w14:textId="24056B42" w:rsidR="00975458" w:rsidRDefault="000A4944" w:rsidP="00975458">
      <w:pPr>
        <w:pStyle w:val="ListParagraph"/>
        <w:numPr>
          <w:ilvl w:val="0"/>
          <w:numId w:val="4"/>
        </w:numPr>
      </w:pPr>
      <w:r w:rsidRPr="000A4944">
        <w:t xml:space="preserve">Ketamine is associated with increased muscle rigidity and excessive salivation </w:t>
      </w:r>
    </w:p>
    <w:p w14:paraId="30DE82DF" w14:textId="41EB4FD3" w:rsidR="00975458" w:rsidRDefault="000A4944" w:rsidP="00975458">
      <w:pPr>
        <w:pStyle w:val="ListParagraph"/>
        <w:numPr>
          <w:ilvl w:val="0"/>
          <w:numId w:val="4"/>
        </w:numPr>
      </w:pPr>
      <w:r w:rsidRPr="000A4944">
        <w:t xml:space="preserve">Ketamine is better used in combination with other sedatives (most commonly with benzodiazepines or alpha 2 agonists)  </w:t>
      </w:r>
    </w:p>
    <w:p w14:paraId="3515C74E" w14:textId="5FC0D065" w:rsidR="000A4944" w:rsidRDefault="000A4944" w:rsidP="00975458">
      <w:pPr>
        <w:pStyle w:val="ListParagraph"/>
        <w:numPr>
          <w:ilvl w:val="0"/>
          <w:numId w:val="4"/>
        </w:numPr>
      </w:pPr>
      <w:r w:rsidRPr="000A4944">
        <w:t>Ketamine may cause increased heart rate, cardiac output, and blood pressure</w:t>
      </w:r>
      <w:r w:rsidR="00975458">
        <w:t>.</w:t>
      </w:r>
    </w:p>
    <w:p w14:paraId="5803CAB4" w14:textId="77777777" w:rsidR="00975458" w:rsidRDefault="000A4944">
      <w:r w:rsidRPr="000A4944">
        <w:lastRenderedPageBreak/>
        <w:t>Ketamine-Xylazine</w:t>
      </w:r>
      <w:r w:rsidR="00975458">
        <w:t>:</w:t>
      </w:r>
    </w:p>
    <w:p w14:paraId="7558A18D" w14:textId="77777777" w:rsidR="00975458" w:rsidRDefault="000A4944" w:rsidP="00975458">
      <w:pPr>
        <w:pStyle w:val="ListParagraph"/>
        <w:numPr>
          <w:ilvl w:val="0"/>
          <w:numId w:val="5"/>
        </w:numPr>
      </w:pPr>
      <w:r w:rsidRPr="000A4944">
        <w:t xml:space="preserve">Xylazine is given to adult cattle either IM at 0.1 – 0.2 mg/kg or IV at 0.05-0.1 mg/kg to produce deep sedation often recumbency. </w:t>
      </w:r>
    </w:p>
    <w:p w14:paraId="35362BDE" w14:textId="161B77E0" w:rsidR="00975458" w:rsidRDefault="000A4944" w:rsidP="00975458">
      <w:pPr>
        <w:pStyle w:val="ListParagraph"/>
        <w:numPr>
          <w:ilvl w:val="0"/>
          <w:numId w:val="5"/>
        </w:numPr>
      </w:pPr>
      <w:r w:rsidRPr="000A4944">
        <w:t xml:space="preserve">Butorphanol 0.1-0.2 mg/kg IV can be included in this combination for better analgesia and muscle relaxation. </w:t>
      </w:r>
    </w:p>
    <w:p w14:paraId="2ADAF5C5" w14:textId="0F860AFC" w:rsidR="00975458" w:rsidRDefault="000A4944" w:rsidP="00975458">
      <w:pPr>
        <w:pStyle w:val="ListParagraph"/>
        <w:numPr>
          <w:ilvl w:val="0"/>
          <w:numId w:val="5"/>
        </w:numPr>
      </w:pPr>
      <w:r w:rsidRPr="000A4944">
        <w:t xml:space="preserve">Ketamine is then given IV in doses of 2 mg/kg to induce </w:t>
      </w:r>
      <w:proofErr w:type="spellStart"/>
      <w:r w:rsidRPr="000A4944">
        <w:t>anesthesia</w:t>
      </w:r>
      <w:proofErr w:type="spellEnd"/>
      <w:r w:rsidRPr="000A4944">
        <w:t xml:space="preserve"> </w:t>
      </w:r>
    </w:p>
    <w:p w14:paraId="576CB53C" w14:textId="0071993D" w:rsidR="00975458" w:rsidRDefault="000A4944" w:rsidP="00975458">
      <w:pPr>
        <w:pStyle w:val="ListParagraph"/>
        <w:numPr>
          <w:ilvl w:val="0"/>
          <w:numId w:val="5"/>
        </w:numPr>
      </w:pPr>
      <w:r w:rsidRPr="000A4944">
        <w:t xml:space="preserve">Often, ET intubation can be performed soon after the xylazine injection and before ketamine is given and whenever possible this should be done, as ketamine appears to produce copious salivation or an inability to swallow the normal saliva volume </w:t>
      </w:r>
    </w:p>
    <w:p w14:paraId="4460931C" w14:textId="36D28D60" w:rsidR="000A4944" w:rsidRDefault="000A4944" w:rsidP="00975458">
      <w:pPr>
        <w:pStyle w:val="ListParagraph"/>
        <w:numPr>
          <w:ilvl w:val="0"/>
          <w:numId w:val="5"/>
        </w:numPr>
      </w:pPr>
      <w:r w:rsidRPr="000A4944">
        <w:t xml:space="preserve"> Hypoxia due to hypoventilation during the use of this combination has also been reported. For this reason, supplemental oxygen is recommended.</w:t>
      </w:r>
    </w:p>
    <w:p w14:paraId="46867886" w14:textId="5FC41617" w:rsidR="00975458" w:rsidRDefault="00975458" w:rsidP="00975458">
      <w:r>
        <w:t xml:space="preserve">Ref link: </w:t>
      </w:r>
      <w:hyperlink r:id="rId6" w:history="1">
        <w:r w:rsidRPr="00372709">
          <w:rPr>
            <w:rStyle w:val="Hyperlink"/>
          </w:rPr>
          <w:t>https://instruction.cvhs.okstate.edu/vmed5412/pdf/24RuminantAnesthesia2006.pdf</w:t>
        </w:r>
      </w:hyperlink>
    </w:p>
    <w:p w14:paraId="4EBF57B1" w14:textId="77777777" w:rsidR="00975458" w:rsidRDefault="00975458" w:rsidP="00975458">
      <w:bookmarkStart w:id="0" w:name="_GoBack"/>
      <w:bookmarkEnd w:id="0"/>
    </w:p>
    <w:p w14:paraId="1EBC1A2F" w14:textId="77777777" w:rsidR="000A4944" w:rsidRDefault="000A4944"/>
    <w:p w14:paraId="7BD99498" w14:textId="77777777" w:rsidR="000A4944" w:rsidRDefault="000A4944"/>
    <w:p w14:paraId="79BA9802" w14:textId="77777777" w:rsidR="005A1B57" w:rsidRDefault="005A1B57"/>
    <w:sectPr w:rsidR="005A1B5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7572F"/>
    <w:multiLevelType w:val="hybridMultilevel"/>
    <w:tmpl w:val="F73A1C36"/>
    <w:lvl w:ilvl="0" w:tplc="2C090001">
      <w:start w:val="1"/>
      <w:numFmt w:val="bullet"/>
      <w:lvlText w:val=""/>
      <w:lvlJc w:val="left"/>
      <w:pPr>
        <w:ind w:left="720" w:hanging="360"/>
      </w:pPr>
      <w:rPr>
        <w:rFonts w:ascii="Symbol" w:hAnsi="Symbol" w:hint="default"/>
      </w:rPr>
    </w:lvl>
    <w:lvl w:ilvl="1" w:tplc="2C090003" w:tentative="1">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abstractNum w:abstractNumId="1" w15:restartNumberingAfterBreak="0">
    <w:nsid w:val="2484028A"/>
    <w:multiLevelType w:val="hybridMultilevel"/>
    <w:tmpl w:val="10481EF0"/>
    <w:lvl w:ilvl="0" w:tplc="2C090001">
      <w:start w:val="1"/>
      <w:numFmt w:val="bullet"/>
      <w:lvlText w:val=""/>
      <w:lvlJc w:val="left"/>
      <w:pPr>
        <w:ind w:left="764" w:hanging="360"/>
      </w:pPr>
      <w:rPr>
        <w:rFonts w:ascii="Symbol" w:hAnsi="Symbol" w:hint="default"/>
      </w:rPr>
    </w:lvl>
    <w:lvl w:ilvl="1" w:tplc="2C090003" w:tentative="1">
      <w:start w:val="1"/>
      <w:numFmt w:val="bullet"/>
      <w:lvlText w:val="o"/>
      <w:lvlJc w:val="left"/>
      <w:pPr>
        <w:ind w:left="1484" w:hanging="360"/>
      </w:pPr>
      <w:rPr>
        <w:rFonts w:ascii="Courier New" w:hAnsi="Courier New" w:cs="Courier New" w:hint="default"/>
      </w:rPr>
    </w:lvl>
    <w:lvl w:ilvl="2" w:tplc="2C090005" w:tentative="1">
      <w:start w:val="1"/>
      <w:numFmt w:val="bullet"/>
      <w:lvlText w:val=""/>
      <w:lvlJc w:val="left"/>
      <w:pPr>
        <w:ind w:left="2204" w:hanging="360"/>
      </w:pPr>
      <w:rPr>
        <w:rFonts w:ascii="Wingdings" w:hAnsi="Wingdings" w:hint="default"/>
      </w:rPr>
    </w:lvl>
    <w:lvl w:ilvl="3" w:tplc="2C090001" w:tentative="1">
      <w:start w:val="1"/>
      <w:numFmt w:val="bullet"/>
      <w:lvlText w:val=""/>
      <w:lvlJc w:val="left"/>
      <w:pPr>
        <w:ind w:left="2924" w:hanging="360"/>
      </w:pPr>
      <w:rPr>
        <w:rFonts w:ascii="Symbol" w:hAnsi="Symbol" w:hint="default"/>
      </w:rPr>
    </w:lvl>
    <w:lvl w:ilvl="4" w:tplc="2C090003" w:tentative="1">
      <w:start w:val="1"/>
      <w:numFmt w:val="bullet"/>
      <w:lvlText w:val="o"/>
      <w:lvlJc w:val="left"/>
      <w:pPr>
        <w:ind w:left="3644" w:hanging="360"/>
      </w:pPr>
      <w:rPr>
        <w:rFonts w:ascii="Courier New" w:hAnsi="Courier New" w:cs="Courier New" w:hint="default"/>
      </w:rPr>
    </w:lvl>
    <w:lvl w:ilvl="5" w:tplc="2C090005" w:tentative="1">
      <w:start w:val="1"/>
      <w:numFmt w:val="bullet"/>
      <w:lvlText w:val=""/>
      <w:lvlJc w:val="left"/>
      <w:pPr>
        <w:ind w:left="4364" w:hanging="360"/>
      </w:pPr>
      <w:rPr>
        <w:rFonts w:ascii="Wingdings" w:hAnsi="Wingdings" w:hint="default"/>
      </w:rPr>
    </w:lvl>
    <w:lvl w:ilvl="6" w:tplc="2C090001" w:tentative="1">
      <w:start w:val="1"/>
      <w:numFmt w:val="bullet"/>
      <w:lvlText w:val=""/>
      <w:lvlJc w:val="left"/>
      <w:pPr>
        <w:ind w:left="5084" w:hanging="360"/>
      </w:pPr>
      <w:rPr>
        <w:rFonts w:ascii="Symbol" w:hAnsi="Symbol" w:hint="default"/>
      </w:rPr>
    </w:lvl>
    <w:lvl w:ilvl="7" w:tplc="2C090003" w:tentative="1">
      <w:start w:val="1"/>
      <w:numFmt w:val="bullet"/>
      <w:lvlText w:val="o"/>
      <w:lvlJc w:val="left"/>
      <w:pPr>
        <w:ind w:left="5804" w:hanging="360"/>
      </w:pPr>
      <w:rPr>
        <w:rFonts w:ascii="Courier New" w:hAnsi="Courier New" w:cs="Courier New" w:hint="default"/>
      </w:rPr>
    </w:lvl>
    <w:lvl w:ilvl="8" w:tplc="2C090005" w:tentative="1">
      <w:start w:val="1"/>
      <w:numFmt w:val="bullet"/>
      <w:lvlText w:val=""/>
      <w:lvlJc w:val="left"/>
      <w:pPr>
        <w:ind w:left="6524" w:hanging="360"/>
      </w:pPr>
      <w:rPr>
        <w:rFonts w:ascii="Wingdings" w:hAnsi="Wingdings" w:hint="default"/>
      </w:rPr>
    </w:lvl>
  </w:abstractNum>
  <w:abstractNum w:abstractNumId="2" w15:restartNumberingAfterBreak="0">
    <w:nsid w:val="2D7467A5"/>
    <w:multiLevelType w:val="hybridMultilevel"/>
    <w:tmpl w:val="F9A61D46"/>
    <w:lvl w:ilvl="0" w:tplc="2C090001">
      <w:start w:val="1"/>
      <w:numFmt w:val="bullet"/>
      <w:lvlText w:val=""/>
      <w:lvlJc w:val="left"/>
      <w:pPr>
        <w:ind w:left="720" w:hanging="360"/>
      </w:pPr>
      <w:rPr>
        <w:rFonts w:ascii="Symbol" w:hAnsi="Symbol" w:hint="default"/>
      </w:rPr>
    </w:lvl>
    <w:lvl w:ilvl="1" w:tplc="73281E3C">
      <w:numFmt w:val="bullet"/>
      <w:lvlText w:val="•"/>
      <w:lvlJc w:val="left"/>
      <w:pPr>
        <w:ind w:left="1440" w:hanging="360"/>
      </w:pPr>
      <w:rPr>
        <w:rFonts w:ascii="Calibri" w:eastAsiaTheme="minorHAnsi" w:hAnsi="Calibri" w:cs="Calibri"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abstractNum w:abstractNumId="3" w15:restartNumberingAfterBreak="0">
    <w:nsid w:val="40E26D11"/>
    <w:multiLevelType w:val="multilevel"/>
    <w:tmpl w:val="C7020B0A"/>
    <w:lvl w:ilvl="0">
      <w:numFmt w:val="decimal"/>
      <w:lvlText w:val="%1"/>
      <w:lvlJc w:val="left"/>
      <w:pPr>
        <w:ind w:left="440" w:hanging="440"/>
      </w:pPr>
      <w:rPr>
        <w:rFonts w:hint="default"/>
      </w:rPr>
    </w:lvl>
    <w:lvl w:ilvl="1">
      <w:start w:val="1"/>
      <w:numFmt w:val="decimalZero"/>
      <w:lvlText w:val="%1.%2"/>
      <w:lvlJc w:val="left"/>
      <w:pPr>
        <w:ind w:left="440" w:hanging="4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6B847595"/>
    <w:multiLevelType w:val="multilevel"/>
    <w:tmpl w:val="4EEC3CFA"/>
    <w:lvl w:ilvl="0">
      <w:numFmt w:val="decimal"/>
      <w:lvlText w:val="%1"/>
      <w:lvlJc w:val="left"/>
      <w:pPr>
        <w:ind w:left="360" w:hanging="360"/>
      </w:pPr>
      <w:rPr>
        <w:rFonts w:hint="default"/>
      </w:rPr>
    </w:lvl>
    <w:lvl w:ilvl="1">
      <w:start w:val="1"/>
      <w:numFmt w:val="decimal"/>
      <w:lvlText w:val="%1.%2"/>
      <w:lvlJc w:val="left"/>
      <w:pPr>
        <w:ind w:left="410" w:hanging="360"/>
      </w:pPr>
      <w:rPr>
        <w:rFonts w:hint="default"/>
      </w:rPr>
    </w:lvl>
    <w:lvl w:ilvl="2">
      <w:start w:val="1"/>
      <w:numFmt w:val="decimal"/>
      <w:lvlText w:val="%1.%2.%3"/>
      <w:lvlJc w:val="left"/>
      <w:pPr>
        <w:ind w:left="820" w:hanging="720"/>
      </w:pPr>
      <w:rPr>
        <w:rFonts w:hint="default"/>
      </w:rPr>
    </w:lvl>
    <w:lvl w:ilvl="3">
      <w:start w:val="1"/>
      <w:numFmt w:val="decimal"/>
      <w:lvlText w:val="%1.%2.%3.%4"/>
      <w:lvlJc w:val="left"/>
      <w:pPr>
        <w:ind w:left="870" w:hanging="720"/>
      </w:pPr>
      <w:rPr>
        <w:rFonts w:hint="default"/>
      </w:rPr>
    </w:lvl>
    <w:lvl w:ilvl="4">
      <w:start w:val="1"/>
      <w:numFmt w:val="decimal"/>
      <w:lvlText w:val="%1.%2.%3.%4.%5"/>
      <w:lvlJc w:val="left"/>
      <w:pPr>
        <w:ind w:left="1280" w:hanging="1080"/>
      </w:pPr>
      <w:rPr>
        <w:rFonts w:hint="default"/>
      </w:rPr>
    </w:lvl>
    <w:lvl w:ilvl="5">
      <w:start w:val="1"/>
      <w:numFmt w:val="decimal"/>
      <w:lvlText w:val="%1.%2.%3.%4.%5.%6"/>
      <w:lvlJc w:val="left"/>
      <w:pPr>
        <w:ind w:left="1330" w:hanging="1080"/>
      </w:pPr>
      <w:rPr>
        <w:rFonts w:hint="default"/>
      </w:rPr>
    </w:lvl>
    <w:lvl w:ilvl="6">
      <w:start w:val="1"/>
      <w:numFmt w:val="decimal"/>
      <w:lvlText w:val="%1.%2.%3.%4.%5.%6.%7"/>
      <w:lvlJc w:val="left"/>
      <w:pPr>
        <w:ind w:left="1740" w:hanging="1440"/>
      </w:pPr>
      <w:rPr>
        <w:rFonts w:hint="default"/>
      </w:rPr>
    </w:lvl>
    <w:lvl w:ilvl="7">
      <w:start w:val="1"/>
      <w:numFmt w:val="decimal"/>
      <w:lvlText w:val="%1.%2.%3.%4.%5.%6.%7.%8"/>
      <w:lvlJc w:val="left"/>
      <w:pPr>
        <w:ind w:left="1790" w:hanging="1440"/>
      </w:pPr>
      <w:rPr>
        <w:rFonts w:hint="default"/>
      </w:rPr>
    </w:lvl>
    <w:lvl w:ilvl="8">
      <w:start w:val="1"/>
      <w:numFmt w:val="decimal"/>
      <w:lvlText w:val="%1.%2.%3.%4.%5.%6.%7.%8.%9"/>
      <w:lvlJc w:val="left"/>
      <w:pPr>
        <w:ind w:left="1840" w:hanging="1440"/>
      </w:pPr>
      <w:rPr>
        <w:rFonts w:hint="default"/>
      </w:r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1B57"/>
    <w:rsid w:val="000A4944"/>
    <w:rsid w:val="00387946"/>
    <w:rsid w:val="005A1B57"/>
    <w:rsid w:val="00975458"/>
    <w:rsid w:val="00A236C7"/>
  </w:rsids>
  <m:mathPr>
    <m:mathFont m:val="Cambria Math"/>
    <m:brkBin m:val="before"/>
    <m:brkBinSub m:val="--"/>
    <m:smallFrac m:val="0"/>
    <m:dispDef/>
    <m:lMargin m:val="0"/>
    <m:rMargin m:val="0"/>
    <m:defJc m:val="centerGroup"/>
    <m:wrapIndent m:val="1440"/>
    <m:intLim m:val="subSup"/>
    <m:naryLim m:val="undOvr"/>
  </m:mathPr>
  <w:themeFontLang w:val="en-T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F991E0"/>
  <w15:chartTrackingRefBased/>
  <w15:docId w15:val="{09487D8C-9050-464C-BE64-E059F0C60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T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4944"/>
    <w:pPr>
      <w:ind w:left="720"/>
      <w:contextualSpacing/>
    </w:pPr>
  </w:style>
  <w:style w:type="character" w:styleId="Hyperlink">
    <w:name w:val="Hyperlink"/>
    <w:basedOn w:val="DefaultParagraphFont"/>
    <w:uiPriority w:val="99"/>
    <w:unhideWhenUsed/>
    <w:rsid w:val="00975458"/>
    <w:rPr>
      <w:color w:val="0563C1" w:themeColor="hyperlink"/>
      <w:u w:val="single"/>
    </w:rPr>
  </w:style>
  <w:style w:type="character" w:styleId="UnresolvedMention">
    <w:name w:val="Unresolved Mention"/>
    <w:basedOn w:val="DefaultParagraphFont"/>
    <w:uiPriority w:val="99"/>
    <w:semiHidden/>
    <w:unhideWhenUsed/>
    <w:rsid w:val="009754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nstruction.cvhs.okstate.edu/vmed5412/pdf/24RuminantAnesthesia2006.pdf"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2</Pages>
  <Words>454</Words>
  <Characters>2592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alanis.boodram</dc:creator>
  <cp:keywords/>
  <dc:description/>
  <cp:lastModifiedBy>alanis.boodram</cp:lastModifiedBy>
  <cp:revision>1</cp:revision>
  <dcterms:created xsi:type="dcterms:W3CDTF">2018-09-23T21:48:00Z</dcterms:created>
  <dcterms:modified xsi:type="dcterms:W3CDTF">2018-09-23T22:25:00Z</dcterms:modified>
</cp:coreProperties>
</file>