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IV Regional Block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38"/>
        <w:gridCol w:w="2339"/>
        <w:gridCol w:w="2339"/>
        <w:gridCol w:w="2339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Purpose/Aim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>Blocking of limb to provide local analgesia to area below</w:t>
            </w:r>
            <w:r>
              <w:rPr>
                <w:rtl w:val="0"/>
              </w:rPr>
              <w:t xml:space="preserve"> tourniquet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 xml:space="preserve">Used for surgery on the foot such as amputation of a digit, tumor removal 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Advantages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 xml:space="preserve">Possible to perform surgery on a standing animal, reduce risks associated with general anesthesia, no need for anesthesiologist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Use of local anesthesia reduces volume of general anaesthetics, if used Low risk of infection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Rapid effect of analgesia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Simple technique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No complex equipment required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Drugs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2% Lidocaine 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Also possible - Bupivacaine, Mepivacaine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5 - 10 ccs  </w:t>
            </w: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Used 10 ccs lidocaine in cow #138, weighing ~ 400 kg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Landmarks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Forelimb: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Dorsal metacarpal vein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Palmar digital vein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Dorsal digital vein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Hindlimb: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 xml:space="preserve">Lateral saphenous vein, cranial or lateral branches 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>Lateral plantar vein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>Lateral plantar digital vein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91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Procedure/Technique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Adequately restrain animal.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Apply tourniquet proximal to carpus/tarsus. Allow a few minutes for vein to engorge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Clean and shave the area to be injected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Insert a butterfly catheter into the vein, and then inject 5-10 ccs of lidocaine with syringe.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Exsanguination is sometimes done at this step before injection of anaesthetic.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Remove needle, apply pressure immediately and massage to prevent haematoma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Wait 10 - 15 minutes for drug to take effect 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Leave tourniquet in place for maximum 90 minutes to maintain effect of anaesthesia 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55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Complications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Cardiac arrhythmia or cardiac arrest due to injection of lidocaine in vein with inadequate tourniquet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Failure of effect - due to failure of tourniquet [too loose] or insufficient time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Haematoma at site of insertion of catheter/injection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Further local analgesia may be required to completely anaesthetize the area between the digits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Special consideration was taken not to exceed half of the toxic dose in cattle across all 5 procedures performed. 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