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FCDCD" w:themeColor="background2" w:themeShade="E5"/>
  <w:body>
    <w:p w:rsidR="00910714" w:rsidRPr="00877D81" w:rsidRDefault="00910714">
      <w:pPr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877D81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Auriculopalpebral Nerve Block</w:t>
      </w:r>
    </w:p>
    <w:p w:rsidR="00F722E5" w:rsidRPr="00877D81" w:rsidRDefault="00F722E5">
      <w:pPr>
        <w:rPr>
          <w:rFonts w:ascii="Times New Roman" w:hAnsi="Times New Roman" w:cs="Times New Roman"/>
          <w:b/>
          <w:color w:val="4472C4" w:themeColor="accent5"/>
        </w:rPr>
      </w:pPr>
      <w:r w:rsidRPr="00877D81">
        <w:rPr>
          <w:rFonts w:ascii="Times New Roman" w:hAnsi="Times New Roman" w:cs="Times New Roman"/>
          <w:b/>
          <w:color w:val="4472C4" w:themeColor="accent5"/>
        </w:rPr>
        <w:t>Pre-Procedure</w:t>
      </w:r>
    </w:p>
    <w:p w:rsidR="00BD1024" w:rsidRPr="00877D81" w:rsidRDefault="00BD1024" w:rsidP="00A52983">
      <w:pPr>
        <w:rPr>
          <w:rFonts w:ascii="Times New Roman" w:hAnsi="Times New Roman" w:cs="Times New Roman"/>
          <w:color w:val="4472C4" w:themeColor="accent5"/>
        </w:rPr>
      </w:pPr>
    </w:p>
    <w:p w:rsidR="00A52983" w:rsidRPr="00877D81" w:rsidRDefault="00A52983" w:rsidP="00A52983">
      <w:pPr>
        <w:rPr>
          <w:rFonts w:ascii="Times New Roman" w:hAnsi="Times New Roman" w:cs="Times New Roman"/>
          <w:b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b/>
          <w:color w:val="4472C4" w:themeColor="accent5"/>
          <w:sz w:val="24"/>
        </w:rPr>
        <w:t>Signalment</w:t>
      </w:r>
    </w:p>
    <w:p w:rsidR="00A52983" w:rsidRPr="00877D81" w:rsidRDefault="00A52983" w:rsidP="00A52983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 xml:space="preserve">Cow #126: a 2-2½ </w:t>
      </w:r>
      <w:proofErr w:type="spellStart"/>
      <w:r w:rsidRPr="00877D81">
        <w:rPr>
          <w:rFonts w:ascii="Times New Roman" w:hAnsi="Times New Roman" w:cs="Times New Roman"/>
          <w:color w:val="4472C4" w:themeColor="accent5"/>
          <w:sz w:val="24"/>
        </w:rPr>
        <w:t>y.o</w:t>
      </w:r>
      <w:proofErr w:type="spellEnd"/>
      <w:r w:rsidRPr="00877D81">
        <w:rPr>
          <w:rFonts w:ascii="Times New Roman" w:hAnsi="Times New Roman" w:cs="Times New Roman"/>
          <w:color w:val="4472C4" w:themeColor="accent5"/>
          <w:sz w:val="24"/>
        </w:rPr>
        <w:t>. intact cow with a body condition score of 3.0/5 (Penn State scale) and an approximate weight of 450kg</w:t>
      </w:r>
    </w:p>
    <w:p w:rsidR="00A52983" w:rsidRPr="00877D81" w:rsidRDefault="00A52983" w:rsidP="00A52983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 xml:space="preserve">Bright, alert and responsive (BAR) </w:t>
      </w:r>
    </w:p>
    <w:p w:rsidR="00A52983" w:rsidRPr="00877D81" w:rsidRDefault="00A52983" w:rsidP="00A52983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Physical examination was generally satisfactory, with the exception of a healing wound on her left flank</w:t>
      </w:r>
    </w:p>
    <w:p w:rsidR="00A52983" w:rsidRPr="00877D81" w:rsidRDefault="00A52983" w:rsidP="00A52983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TPR values were within normal range</w:t>
      </w:r>
    </w:p>
    <w:p w:rsidR="00A52983" w:rsidRPr="00877D81" w:rsidRDefault="00A52983" w:rsidP="00A52983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Temperature: 39</w:t>
      </w:r>
      <w:r w:rsidRPr="00877D81">
        <w:rPr>
          <w:rFonts w:ascii="Times New Roman" w:hAnsi="Times New Roman" w:cs="Times New Roman"/>
          <w:color w:val="4472C4" w:themeColor="accent5"/>
          <w:sz w:val="24"/>
          <w:vertAlign w:val="superscript"/>
        </w:rPr>
        <w:t>o</w:t>
      </w:r>
      <w:r w:rsidRPr="00877D81">
        <w:rPr>
          <w:rFonts w:ascii="Times New Roman" w:hAnsi="Times New Roman" w:cs="Times New Roman"/>
          <w:color w:val="4472C4" w:themeColor="accent5"/>
          <w:sz w:val="24"/>
        </w:rPr>
        <w:t>C</w:t>
      </w:r>
    </w:p>
    <w:p w:rsidR="00A52983" w:rsidRPr="00877D81" w:rsidRDefault="00877D81" w:rsidP="00A52983">
      <w:pPr>
        <w:rPr>
          <w:rFonts w:ascii="Times New Roman" w:hAnsi="Times New Roman" w:cs="Times New Roman"/>
          <w:color w:val="4472C4" w:themeColor="accent5"/>
          <w:sz w:val="24"/>
        </w:rPr>
      </w:pPr>
      <w:r>
        <w:rPr>
          <w:rFonts w:ascii="Times New Roman" w:hAnsi="Times New Roman" w:cs="Times New Roman"/>
          <w:color w:val="4472C4" w:themeColor="accent5"/>
          <w:sz w:val="24"/>
        </w:rPr>
        <w:t>Pulse rate: 58</w:t>
      </w:r>
      <w:r w:rsidR="00A52983" w:rsidRPr="00877D81">
        <w:rPr>
          <w:rFonts w:ascii="Times New Roman" w:hAnsi="Times New Roman" w:cs="Times New Roman"/>
          <w:color w:val="4472C4" w:themeColor="accent5"/>
          <w:sz w:val="24"/>
        </w:rPr>
        <w:t>bpm</w:t>
      </w:r>
    </w:p>
    <w:p w:rsidR="00A52983" w:rsidRPr="00877D81" w:rsidRDefault="00A52983" w:rsidP="00A52983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Respiratory rate: 40 breaths/min</w:t>
      </w:r>
    </w:p>
    <w:p w:rsidR="00BD1024" w:rsidRPr="00877D81" w:rsidRDefault="00BD1024" w:rsidP="00A52983">
      <w:pPr>
        <w:rPr>
          <w:rFonts w:ascii="Times New Roman" w:hAnsi="Times New Roman" w:cs="Times New Roman"/>
          <w:color w:val="4472C4" w:themeColor="accent5"/>
          <w:sz w:val="24"/>
        </w:rPr>
      </w:pPr>
    </w:p>
    <w:p w:rsidR="00BD1024" w:rsidRPr="00877D81" w:rsidRDefault="00BD1024" w:rsidP="00BD1024">
      <w:pPr>
        <w:rPr>
          <w:rFonts w:ascii="Times New Roman" w:hAnsi="Times New Roman" w:cs="Times New Roman"/>
          <w:b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b/>
          <w:color w:val="4472C4" w:themeColor="accent5"/>
          <w:sz w:val="24"/>
        </w:rPr>
        <w:t>Use of drugs</w:t>
      </w:r>
    </w:p>
    <w:p w:rsidR="00877D81" w:rsidRDefault="00BD1024" w:rsidP="00BD1024">
      <w:pPr>
        <w:rPr>
          <w:rFonts w:ascii="Times New Roman" w:hAnsi="Times New Roman" w:cs="Times New Roman"/>
          <w:color w:val="4472C4" w:themeColor="accent5"/>
          <w:sz w:val="24"/>
        </w:rPr>
      </w:pPr>
      <w:proofErr w:type="gramStart"/>
      <w:r w:rsidRPr="00877D81">
        <w:rPr>
          <w:rFonts w:ascii="Times New Roman" w:hAnsi="Times New Roman" w:cs="Times New Roman"/>
          <w:color w:val="4472C4" w:themeColor="accent5"/>
          <w:sz w:val="24"/>
        </w:rPr>
        <w:t>In order to</w:t>
      </w:r>
      <w:proofErr w:type="gramEnd"/>
      <w:r w:rsidRPr="00877D81">
        <w:rPr>
          <w:rFonts w:ascii="Times New Roman" w:hAnsi="Times New Roman" w:cs="Times New Roman"/>
          <w:color w:val="4472C4" w:themeColor="accent5"/>
          <w:sz w:val="24"/>
        </w:rPr>
        <w:t xml:space="preserve"> conduct this block of the auriculopalpebral nerve, </w:t>
      </w:r>
      <w:r w:rsidR="00877D81">
        <w:rPr>
          <w:rFonts w:ascii="Times New Roman" w:hAnsi="Times New Roman" w:cs="Times New Roman"/>
          <w:color w:val="4472C4" w:themeColor="accent5"/>
          <w:sz w:val="24"/>
        </w:rPr>
        <w:t>10</w:t>
      </w:r>
      <w:r w:rsidRPr="00877D81">
        <w:rPr>
          <w:rFonts w:ascii="Times New Roman" w:hAnsi="Times New Roman" w:cs="Times New Roman"/>
          <w:color w:val="4472C4" w:themeColor="accent5"/>
          <w:sz w:val="24"/>
        </w:rPr>
        <w:t>ml of 2% lidocaine</w:t>
      </w:r>
      <w:r w:rsidR="00877D81">
        <w:rPr>
          <w:rFonts w:ascii="Times New Roman" w:hAnsi="Times New Roman" w:cs="Times New Roman"/>
          <w:color w:val="4472C4" w:themeColor="accent5"/>
          <w:sz w:val="24"/>
        </w:rPr>
        <w:t xml:space="preserve"> was administered to the</w:t>
      </w:r>
      <w:r w:rsidRPr="00877D81">
        <w:rPr>
          <w:rFonts w:ascii="Times New Roman" w:hAnsi="Times New Roman" w:cs="Times New Roman"/>
          <w:color w:val="4472C4" w:themeColor="accent5"/>
          <w:sz w:val="24"/>
        </w:rPr>
        <w:t xml:space="preserve"> cow.</w:t>
      </w:r>
      <w:r w:rsidR="00877D81">
        <w:rPr>
          <w:rFonts w:ascii="Times New Roman" w:hAnsi="Times New Roman" w:cs="Times New Roman"/>
          <w:color w:val="4472C4" w:themeColor="accent5"/>
          <w:sz w:val="24"/>
        </w:rPr>
        <w:t xml:space="preserve"> Proper knowledge of the anatomical landmarks is necessary before administering the local anaesthetic. The auriculopalpebral nerve is found lateral to the zygomatic bone as shown:</w:t>
      </w:r>
      <w:bookmarkStart w:id="0" w:name="_GoBack"/>
      <w:bookmarkEnd w:id="0"/>
    </w:p>
    <w:p w:rsidR="00BD1024" w:rsidRPr="00877D81" w:rsidRDefault="00877D81" w:rsidP="00877D81">
      <w:pPr>
        <w:jc w:val="center"/>
        <w:rPr>
          <w:rFonts w:ascii="Times New Roman" w:hAnsi="Times New Roman" w:cs="Times New Roman"/>
          <w:color w:val="4472C4" w:themeColor="accent5"/>
          <w:sz w:val="24"/>
        </w:rPr>
      </w:pPr>
      <w:r>
        <w:rPr>
          <w:rFonts w:ascii="Times New Roman" w:hAnsi="Times New Roman" w:cs="Times New Roman"/>
          <w:noProof/>
          <w:color w:val="4472C4" w:themeColor="accent5"/>
          <w:sz w:val="24"/>
        </w:rPr>
        <w:drawing>
          <wp:inline distT="0" distB="0" distL="0" distR="0">
            <wp:extent cx="2190750" cy="2085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24" w:rsidRPr="00877D81" w:rsidRDefault="00BD1024" w:rsidP="00BD1024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In the event of an emergency, drugs may need to be utilized to reverse the effects of any sedative/anaesthetic used. In this procedure, the following drugs were intended for use as emergency drugs:</w:t>
      </w:r>
    </w:p>
    <w:p w:rsidR="00BD1024" w:rsidRPr="00877D81" w:rsidRDefault="00BD1024" w:rsidP="00BD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Atropine at 33.3mL</w:t>
      </w:r>
    </w:p>
    <w:p w:rsidR="00BD1024" w:rsidRPr="00877D81" w:rsidRDefault="00BD1024" w:rsidP="00BD1024">
      <w:pPr>
        <w:pStyle w:val="ListParagraph"/>
        <w:rPr>
          <w:rFonts w:ascii="Times New Roman" w:hAnsi="Times New Roman" w:cs="Times New Roman"/>
          <w:color w:val="4472C4" w:themeColor="accent5"/>
          <w:sz w:val="24"/>
        </w:rPr>
      </w:pPr>
    </w:p>
    <w:p w:rsidR="00BD1024" w:rsidRPr="00877D81" w:rsidRDefault="00BD1024" w:rsidP="00BD1024">
      <w:pPr>
        <w:pStyle w:val="ListParagraph"/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 xml:space="preserve"> </w:t>
      </w:r>
      <m:oMath>
        <m:r>
          <w:rPr>
            <w:rFonts w:ascii="Cambria Math" w:hAnsi="Cambria Math" w:cs="Times New Roman"/>
            <w:color w:val="4472C4" w:themeColor="accent5"/>
            <w:sz w:val="24"/>
          </w:rPr>
          <m:t>Volume=</m:t>
        </m:r>
        <m:f>
          <m:fPr>
            <m:ctrlPr>
              <w:rPr>
                <w:rFonts w:ascii="Cambria Math" w:hAnsi="Cambria Math" w:cs="Times New Roman"/>
                <w:i/>
                <w:color w:val="4472C4" w:themeColor="accent5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4472C4" w:themeColor="accent5"/>
                <w:sz w:val="24"/>
              </w:rPr>
              <m:t>450 kg ×0.04 mg/kg</m:t>
            </m:r>
          </m:num>
          <m:den>
            <m:r>
              <w:rPr>
                <w:rFonts w:ascii="Cambria Math" w:hAnsi="Cambria Math" w:cs="Times New Roman"/>
                <w:color w:val="4472C4" w:themeColor="accent5"/>
                <w:sz w:val="24"/>
              </w:rPr>
              <m:t>0.54 mg/ml</m:t>
            </m:r>
          </m:den>
        </m:f>
      </m:oMath>
    </w:p>
    <w:p w:rsidR="00BD1024" w:rsidRPr="00877D81" w:rsidRDefault="00BD1024" w:rsidP="00BD1024">
      <w:p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eastAsiaTheme="minorEastAsia" w:hAnsi="Times New Roman" w:cs="Times New Roman"/>
          <w:iCs/>
          <w:color w:val="4472C4" w:themeColor="accent5"/>
          <w:sz w:val="24"/>
        </w:rPr>
        <w:t xml:space="preserve">  </w:t>
      </w:r>
      <w:r w:rsidRPr="00877D81">
        <w:rPr>
          <w:rFonts w:ascii="Times New Roman" w:eastAsiaTheme="minorEastAsia" w:hAnsi="Times New Roman" w:cs="Times New Roman"/>
          <w:iCs/>
          <w:color w:val="4472C4" w:themeColor="accent5"/>
          <w:sz w:val="24"/>
        </w:rPr>
        <w:tab/>
      </w:r>
      <m:oMath>
        <m:r>
          <w:rPr>
            <w:rFonts w:ascii="Cambria Math" w:hAnsi="Cambria Math" w:cs="Times New Roman"/>
            <w:color w:val="4472C4" w:themeColor="accent5"/>
            <w:sz w:val="24"/>
          </w:rPr>
          <m:t>Volume=33.33 ml</m:t>
        </m:r>
      </m:oMath>
    </w:p>
    <w:p w:rsidR="00BD1024" w:rsidRPr="00877D81" w:rsidRDefault="00BD1024" w:rsidP="00BD1024">
      <w:pPr>
        <w:pStyle w:val="ListParagraph"/>
        <w:rPr>
          <w:rFonts w:ascii="Times New Roman" w:hAnsi="Times New Roman" w:cs="Times New Roman"/>
          <w:color w:val="4472C4" w:themeColor="accent5"/>
          <w:sz w:val="24"/>
        </w:rPr>
      </w:pPr>
    </w:p>
    <w:p w:rsidR="00BD1024" w:rsidRPr="00877D81" w:rsidRDefault="00BD1024" w:rsidP="00BD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Epinephrine at 9mL</w:t>
      </w:r>
    </w:p>
    <w:p w:rsidR="00BD1024" w:rsidRPr="00877D81" w:rsidRDefault="00BD1024" w:rsidP="00BD1024">
      <w:pPr>
        <w:pStyle w:val="ListParagraph"/>
        <w:rPr>
          <w:rFonts w:ascii="Times New Roman" w:hAnsi="Times New Roman" w:cs="Times New Roman"/>
          <w:color w:val="4472C4" w:themeColor="accent5"/>
          <w:sz w:val="24"/>
        </w:rPr>
      </w:pPr>
    </w:p>
    <w:p w:rsidR="00BD1024" w:rsidRPr="00877D81" w:rsidRDefault="00BD1024" w:rsidP="00BD1024">
      <w:pPr>
        <w:ind w:left="360"/>
        <w:rPr>
          <w:rFonts w:ascii="Cambria" w:hAnsi="Cambria" w:cs="Times New Roman"/>
          <w:color w:val="4472C4" w:themeColor="accent5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4472C4" w:themeColor="accent5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5"/>
                  <w:sz w:val="24"/>
                  <w:szCs w:val="24"/>
                </w:rPr>
                <m:t>450 kg ×0.02 mg/kg</m:t>
              </m:r>
            </m:num>
            <m:den>
              <m:r>
                <w:rPr>
                  <w:rFonts w:ascii="Cambria Math" w:hAnsi="Cambria Math" w:cs="Times New Roman"/>
                  <w:color w:val="4472C4" w:themeColor="accent5"/>
                  <w:sz w:val="24"/>
                  <w:szCs w:val="24"/>
                </w:rPr>
                <m:t>1 mg/ml</m:t>
              </m:r>
            </m:den>
          </m:f>
        </m:oMath>
      </m:oMathPara>
    </w:p>
    <w:p w:rsidR="00BD1024" w:rsidRPr="00877D81" w:rsidRDefault="00BD1024" w:rsidP="00BD1024">
      <w:pPr>
        <w:ind w:left="360"/>
        <w:rPr>
          <w:rFonts w:ascii="Cambria" w:hAnsi="Cambria" w:cs="Times New Roman"/>
          <w:color w:val="4472C4" w:themeColor="accent5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4472C4" w:themeColor="accent5"/>
              <w:sz w:val="24"/>
              <w:szCs w:val="24"/>
            </w:rPr>
            <m:t>Volume=9 ml</m:t>
          </m:r>
        </m:oMath>
      </m:oMathPara>
    </w:p>
    <w:p w:rsidR="00BD1024" w:rsidRPr="00877D81" w:rsidRDefault="00BD1024" w:rsidP="00BD1024">
      <w:pPr>
        <w:tabs>
          <w:tab w:val="left" w:pos="2175"/>
        </w:tabs>
        <w:rPr>
          <w:rFonts w:ascii="Times New Roman" w:hAnsi="Times New Roman" w:cs="Times New Roman"/>
          <w:color w:val="4472C4" w:themeColor="accent5"/>
          <w:sz w:val="24"/>
        </w:rPr>
      </w:pPr>
    </w:p>
    <w:p w:rsidR="00BD1024" w:rsidRPr="00877D81" w:rsidRDefault="00BD1024" w:rsidP="00BD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5"/>
          <w:sz w:val="24"/>
        </w:rPr>
      </w:pPr>
      <w:r w:rsidRPr="00877D81">
        <w:rPr>
          <w:rFonts w:ascii="Times New Roman" w:hAnsi="Times New Roman" w:cs="Times New Roman"/>
          <w:color w:val="4472C4" w:themeColor="accent5"/>
          <w:sz w:val="24"/>
        </w:rPr>
        <w:t>10% Tolazoline at 0.12mL (0.24mL for mild cases and 0.48mL for severe cases)</w:t>
      </w:r>
    </w:p>
    <w:p w:rsidR="00BD1024" w:rsidRPr="00877D81" w:rsidRDefault="00BD1024" w:rsidP="00BD1024">
      <w:pPr>
        <w:pStyle w:val="ListParagraph"/>
        <w:rPr>
          <w:rFonts w:ascii="Times New Roman" w:hAnsi="Times New Roman" w:cs="Times New Roman"/>
          <w:color w:val="4472C4" w:themeColor="accent5"/>
          <w:sz w:val="24"/>
        </w:rPr>
      </w:pPr>
    </w:p>
    <w:p w:rsidR="00BD1024" w:rsidRPr="00877D81" w:rsidRDefault="00877D81" w:rsidP="00BD1024">
      <w:pPr>
        <w:rPr>
          <w:rFonts w:ascii="Times New Roman" w:eastAsiaTheme="minorEastAsia" w:hAnsi="Times New Roman" w:cs="Times New Roman"/>
          <w:color w:val="4472C4" w:themeColor="accent5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4472C4" w:themeColor="accent5"/>
              <w:sz w:val="24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Conc.</m:t>
              </m:r>
            </m:e>
            <m:sub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4472C4" w:themeColor="accent5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4472C4" w:themeColor="accent5"/>
              <w:sz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Conc.</m:t>
              </m:r>
            </m:e>
            <m:sub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2</m:t>
              </m:r>
            </m:sub>
          </m:sSub>
        </m:oMath>
      </m:oMathPara>
    </w:p>
    <w:p w:rsidR="00BD1024" w:rsidRPr="00877D81" w:rsidRDefault="00BD1024" w:rsidP="00BD1024">
      <w:pPr>
        <w:rPr>
          <w:rFonts w:ascii="Times New Roman" w:hAnsi="Times New Roman" w:cs="Times New Roman"/>
          <w:color w:val="4472C4" w:themeColor="accent5"/>
          <w:sz w:val="24"/>
        </w:rPr>
      </w:pPr>
      <m:oMathPara>
        <m:oMath>
          <m:r>
            <w:rPr>
              <w:rFonts w:ascii="Cambria Math" w:hAnsi="Cambria Math" w:cs="Times New Roman"/>
              <w:color w:val="4472C4" w:themeColor="accent5"/>
              <w:sz w:val="24"/>
            </w:rPr>
            <m:t>0.6ml×20</m:t>
          </m:r>
          <m:f>
            <m:f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mg</m:t>
              </m:r>
            </m:num>
            <m:den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kg</m:t>
              </m:r>
            </m:den>
          </m:f>
          <m:r>
            <w:rPr>
              <w:rFonts w:ascii="Cambria Math" w:hAnsi="Cambria Math" w:cs="Times New Roman"/>
              <w:color w:val="4472C4" w:themeColor="accent5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4472C4" w:themeColor="accent5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4472C4" w:themeColor="accent5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4472C4" w:themeColor="accent5"/>
              <w:sz w:val="24"/>
            </w:rPr>
            <m:t xml:space="preserve"> ×Conc.2</m:t>
          </m:r>
        </m:oMath>
      </m:oMathPara>
    </w:p>
    <w:p w:rsidR="00BD1024" w:rsidRPr="00877D81" w:rsidRDefault="00BD1024" w:rsidP="00BD1024">
      <w:pPr>
        <w:spacing w:line="256" w:lineRule="auto"/>
        <w:rPr>
          <w:rFonts w:ascii="Cambria" w:eastAsia="Calibri" w:hAnsi="Cambria" w:cs="Times New Roman"/>
          <w:i/>
          <w:color w:val="4472C4" w:themeColor="accent5"/>
          <w:sz w:val="24"/>
          <w:szCs w:val="24"/>
        </w:rPr>
      </w:pP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12mlmg/kg= Volume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  <w:vertAlign w:val="subscript"/>
        </w:rPr>
        <w:t>2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 xml:space="preserve"> x 100mg/kg</w:t>
      </w:r>
    </w:p>
    <w:p w:rsidR="00BD1024" w:rsidRPr="00877D81" w:rsidRDefault="00BD1024" w:rsidP="00BD1024">
      <w:pPr>
        <w:spacing w:line="256" w:lineRule="auto"/>
        <w:rPr>
          <w:rFonts w:ascii="Cambria" w:eastAsia="Calibri" w:hAnsi="Cambria" w:cs="Times New Roman"/>
          <w:i/>
          <w:color w:val="4472C4" w:themeColor="accent5"/>
          <w:sz w:val="24"/>
          <w:szCs w:val="24"/>
        </w:rPr>
      </w:pP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Volume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  <w:vertAlign w:val="subscript"/>
        </w:rPr>
        <w:t>2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= 12mlmg/kg/ 100 mg/kg</w:t>
      </w:r>
    </w:p>
    <w:p w:rsidR="00BD1024" w:rsidRPr="00877D81" w:rsidRDefault="00BD1024" w:rsidP="00BD1024">
      <w:pPr>
        <w:spacing w:line="256" w:lineRule="auto"/>
        <w:rPr>
          <w:rFonts w:ascii="Cambria" w:eastAsia="Calibri" w:hAnsi="Cambria" w:cs="Times New Roman"/>
          <w:color w:val="4472C4" w:themeColor="accent5"/>
          <w:sz w:val="24"/>
          <w:szCs w:val="24"/>
        </w:rPr>
      </w:pP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Volume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  <w:vertAlign w:val="subscript"/>
        </w:rPr>
        <w:t>2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= 0.12ml</w:t>
      </w:r>
    </w:p>
    <w:p w:rsidR="00BD1024" w:rsidRPr="00877D81" w:rsidRDefault="00BD1024" w:rsidP="00BD1024">
      <w:pPr>
        <w:spacing w:line="256" w:lineRule="auto"/>
        <w:rPr>
          <w:rFonts w:ascii="Cambria" w:eastAsia="Calibri" w:hAnsi="Cambria" w:cs="Times New Roman"/>
          <w:i/>
          <w:color w:val="4472C4" w:themeColor="accent5"/>
          <w:sz w:val="24"/>
          <w:szCs w:val="24"/>
        </w:rPr>
      </w:pPr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 xml:space="preserve">For mildly depressed animals: </w:t>
      </w:r>
      <w:r w:rsidRPr="00877D81">
        <w:rPr>
          <w:rFonts w:ascii="Cambria" w:eastAsia="Calibri" w:hAnsi="Cambria" w:cs="Times New Roman"/>
          <w:b/>
          <w:color w:val="4472C4" w:themeColor="accent5"/>
          <w:sz w:val="24"/>
          <w:szCs w:val="24"/>
        </w:rPr>
        <w:t>2</w:t>
      </w:r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 xml:space="preserve"> times </w:t>
      </w:r>
      <w:proofErr w:type="spellStart"/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>xylazin</w:t>
      </w:r>
      <w:proofErr w:type="spellEnd"/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 xml:space="preserve"> dose: 0.12 ml x 2= 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0.24ml</w:t>
      </w:r>
    </w:p>
    <w:p w:rsidR="00DB253B" w:rsidRPr="00877D81" w:rsidRDefault="00BD1024" w:rsidP="00BD1024">
      <w:pPr>
        <w:rPr>
          <w:rFonts w:ascii="Cambria" w:eastAsia="Calibri" w:hAnsi="Cambria" w:cs="Times New Roman"/>
          <w:i/>
          <w:color w:val="4472C4" w:themeColor="accent5"/>
          <w:sz w:val="24"/>
          <w:szCs w:val="24"/>
        </w:rPr>
      </w:pPr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 xml:space="preserve">For severely depressed animals: </w:t>
      </w:r>
      <w:r w:rsidRPr="00877D81">
        <w:rPr>
          <w:rFonts w:ascii="Cambria" w:eastAsia="Calibri" w:hAnsi="Cambria" w:cs="Times New Roman"/>
          <w:b/>
          <w:color w:val="4472C4" w:themeColor="accent5"/>
          <w:sz w:val="24"/>
          <w:szCs w:val="24"/>
        </w:rPr>
        <w:t>4</w:t>
      </w:r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 xml:space="preserve"> times </w:t>
      </w:r>
      <w:proofErr w:type="spellStart"/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>xylazin</w:t>
      </w:r>
      <w:proofErr w:type="spellEnd"/>
      <w:r w:rsidRPr="00877D81">
        <w:rPr>
          <w:rFonts w:ascii="Cambria" w:eastAsia="Calibri" w:hAnsi="Cambria" w:cs="Times New Roman"/>
          <w:color w:val="4472C4" w:themeColor="accent5"/>
          <w:sz w:val="24"/>
          <w:szCs w:val="24"/>
        </w:rPr>
        <w:t xml:space="preserve"> dose: 0.12 ml x 4= </w:t>
      </w:r>
      <w:r w:rsidRPr="00877D81">
        <w:rPr>
          <w:rFonts w:ascii="Cambria" w:eastAsia="Calibri" w:hAnsi="Cambria" w:cs="Times New Roman"/>
          <w:i/>
          <w:color w:val="4472C4" w:themeColor="accent5"/>
          <w:sz w:val="24"/>
          <w:szCs w:val="24"/>
        </w:rPr>
        <w:t>0.48ml</w:t>
      </w:r>
    </w:p>
    <w:p w:rsidR="00BD1024" w:rsidRPr="00877D81" w:rsidRDefault="00BD1024" w:rsidP="00BD1024">
      <w:pPr>
        <w:rPr>
          <w:rFonts w:ascii="Times New Roman" w:hAnsi="Times New Roman" w:cs="Times New Roman"/>
          <w:color w:val="4472C4" w:themeColor="accent5"/>
        </w:rPr>
      </w:pPr>
    </w:p>
    <w:p w:rsidR="00DB253B" w:rsidRPr="00877D81" w:rsidRDefault="00DB253B" w:rsidP="00DB253B">
      <w:pPr>
        <w:rPr>
          <w:rFonts w:ascii="Times New Roman" w:hAnsi="Times New Roman" w:cs="Times New Roman"/>
          <w:b/>
          <w:color w:val="4472C4" w:themeColor="accent5"/>
        </w:rPr>
      </w:pPr>
      <w:r w:rsidRPr="00877D81">
        <w:rPr>
          <w:rFonts w:ascii="Times New Roman" w:hAnsi="Times New Roman" w:cs="Times New Roman"/>
          <w:b/>
          <w:color w:val="4472C4" w:themeColor="accent5"/>
        </w:rPr>
        <w:t>Equipment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  <w:sectPr w:rsidR="00DB253B" w:rsidRPr="00877D8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Halter for restraint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Cotton swabs soaked in 70% isopropyl alcohol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19-gauge 1” need</w:t>
      </w:r>
      <w:r w:rsidR="001B4165" w:rsidRPr="00877D81">
        <w:rPr>
          <w:rFonts w:ascii="Times New Roman" w:hAnsi="Times New Roman" w:cs="Times New Roman"/>
          <w:color w:val="4472C4" w:themeColor="accent5"/>
        </w:rPr>
        <w:t>le</w:t>
      </w:r>
      <w:r w:rsidR="006A792D" w:rsidRPr="00877D81">
        <w:rPr>
          <w:rFonts w:ascii="Times New Roman" w:hAnsi="Times New Roman" w:cs="Times New Roman"/>
          <w:color w:val="4472C4" w:themeColor="accent5"/>
        </w:rPr>
        <w:t>s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1- 10ml syringe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 xml:space="preserve">2% </w:t>
      </w:r>
      <w:proofErr w:type="spellStart"/>
      <w:r w:rsidRPr="00877D81">
        <w:rPr>
          <w:rFonts w:ascii="Times New Roman" w:hAnsi="Times New Roman" w:cs="Times New Roman"/>
          <w:color w:val="4472C4" w:themeColor="accent5"/>
        </w:rPr>
        <w:t>Lidcocaine</w:t>
      </w:r>
      <w:proofErr w:type="spellEnd"/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Atropine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Epinephrine</w:t>
      </w:r>
    </w:p>
    <w:p w:rsidR="00DB253B" w:rsidRPr="00877D81" w:rsidRDefault="00DB253B" w:rsidP="00DB253B">
      <w:p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 xml:space="preserve">10% </w:t>
      </w:r>
      <w:proofErr w:type="spellStart"/>
      <w:r w:rsidRPr="00877D81">
        <w:rPr>
          <w:rFonts w:ascii="Times New Roman" w:hAnsi="Times New Roman" w:cs="Times New Roman"/>
          <w:color w:val="4472C4" w:themeColor="accent5"/>
        </w:rPr>
        <w:t>Tolazonine</w:t>
      </w:r>
      <w:proofErr w:type="spellEnd"/>
    </w:p>
    <w:p w:rsidR="009E5089" w:rsidRPr="00877D81" w:rsidRDefault="009E5089" w:rsidP="00DB253B">
      <w:pPr>
        <w:rPr>
          <w:rFonts w:ascii="Times New Roman" w:hAnsi="Times New Roman" w:cs="Times New Roman"/>
          <w:color w:val="4472C4" w:themeColor="accent5"/>
        </w:rPr>
        <w:sectPr w:rsidR="009E5089" w:rsidRPr="00877D81" w:rsidSect="009E508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BD1024" w:rsidRPr="00877D81" w:rsidRDefault="00BD1024" w:rsidP="00DB253B">
      <w:pPr>
        <w:rPr>
          <w:rFonts w:ascii="Times New Roman" w:hAnsi="Times New Roman" w:cs="Times New Roman"/>
          <w:color w:val="4472C4" w:themeColor="accent5"/>
        </w:rPr>
      </w:pPr>
    </w:p>
    <w:p w:rsidR="008D633B" w:rsidRPr="00877D81" w:rsidRDefault="008D633B" w:rsidP="00DB253B">
      <w:pPr>
        <w:rPr>
          <w:rFonts w:ascii="Times New Roman" w:hAnsi="Times New Roman" w:cs="Times New Roman"/>
          <w:b/>
          <w:color w:val="4472C4" w:themeColor="accent5"/>
        </w:rPr>
      </w:pPr>
    </w:p>
    <w:p w:rsidR="00BD1024" w:rsidRPr="00877D81" w:rsidRDefault="00BD1024" w:rsidP="00DB253B">
      <w:pPr>
        <w:rPr>
          <w:rFonts w:ascii="Times New Roman" w:hAnsi="Times New Roman" w:cs="Times New Roman"/>
          <w:b/>
          <w:color w:val="4472C4" w:themeColor="accent5"/>
        </w:rPr>
      </w:pPr>
      <w:r w:rsidRPr="00877D81">
        <w:rPr>
          <w:rFonts w:ascii="Times New Roman" w:hAnsi="Times New Roman" w:cs="Times New Roman"/>
          <w:b/>
          <w:color w:val="4472C4" w:themeColor="accent5"/>
        </w:rPr>
        <w:t>Safety considerations:</w:t>
      </w:r>
    </w:p>
    <w:p w:rsidR="008D633B" w:rsidRPr="00877D81" w:rsidRDefault="008D633B" w:rsidP="00DB253B">
      <w:pPr>
        <w:rPr>
          <w:rFonts w:ascii="Times New Roman" w:hAnsi="Times New Roman" w:cs="Times New Roman"/>
          <w:b/>
          <w:color w:val="4472C4" w:themeColor="accent5"/>
        </w:rPr>
      </w:pPr>
    </w:p>
    <w:p w:rsidR="00BD1024" w:rsidRPr="00877D81" w:rsidRDefault="00BD1024" w:rsidP="00DB253B">
      <w:pPr>
        <w:rPr>
          <w:rFonts w:ascii="Times New Roman" w:hAnsi="Times New Roman" w:cs="Times New Roman"/>
          <w:color w:val="4472C4" w:themeColor="accent5"/>
        </w:rPr>
      </w:pPr>
    </w:p>
    <w:p w:rsidR="008D633B" w:rsidRPr="00877D81" w:rsidRDefault="008D633B" w:rsidP="00DB253B">
      <w:pPr>
        <w:rPr>
          <w:rFonts w:ascii="Times New Roman" w:hAnsi="Times New Roman" w:cs="Times New Roman"/>
          <w:color w:val="4472C4" w:themeColor="accent5"/>
        </w:rPr>
        <w:sectPr w:rsidR="008D633B" w:rsidRPr="00877D81" w:rsidSect="00DB253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8D633B" w:rsidRPr="00877D81" w:rsidRDefault="008D633B" w:rsidP="008D633B">
      <w:pPr>
        <w:pStyle w:val="ListParagraph"/>
        <w:rPr>
          <w:rFonts w:ascii="Times New Roman" w:hAnsi="Times New Roman" w:cs="Times New Roman"/>
          <w:color w:val="4472C4" w:themeColor="accent5"/>
        </w:rPr>
      </w:pPr>
    </w:p>
    <w:p w:rsidR="008D633B" w:rsidRPr="00877D81" w:rsidRDefault="008D633B" w:rsidP="008D6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5"/>
        </w:rPr>
      </w:pPr>
      <w:r w:rsidRPr="00877D81">
        <w:rPr>
          <w:rFonts w:ascii="Times New Roman" w:hAnsi="Times New Roman" w:cs="Times New Roman"/>
          <w:color w:val="4472C4" w:themeColor="accent5"/>
        </w:rPr>
        <w:t>Check the physical restraints so as to make certain that the head is adequately secured.</w:t>
      </w:r>
    </w:p>
    <w:p w:rsidR="008D633B" w:rsidRPr="00877D81" w:rsidRDefault="008D633B" w:rsidP="008D633B">
      <w:pPr>
        <w:pStyle w:val="ListParagraph"/>
        <w:rPr>
          <w:rFonts w:ascii="Times New Roman" w:hAnsi="Times New Roman" w:cs="Times New Roman"/>
          <w:color w:val="4472C4" w:themeColor="accent5"/>
        </w:rPr>
      </w:pPr>
    </w:p>
    <w:p w:rsidR="008D633B" w:rsidRPr="00877D81" w:rsidRDefault="008D633B" w:rsidP="008D6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5"/>
        </w:rPr>
        <w:sectPr w:rsidR="008D633B" w:rsidRPr="00877D81" w:rsidSect="008D633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877D81">
        <w:rPr>
          <w:rFonts w:ascii="Times New Roman" w:hAnsi="Times New Roman" w:cs="Times New Roman"/>
          <w:color w:val="4472C4" w:themeColor="accent5"/>
        </w:rPr>
        <w:t>Ensure that the needle is held firmly so as to prevent injur</w:t>
      </w:r>
      <w:r w:rsidR="001B4165" w:rsidRPr="00877D81">
        <w:rPr>
          <w:rFonts w:ascii="Times New Roman" w:hAnsi="Times New Roman" w:cs="Times New Roman"/>
          <w:color w:val="4472C4" w:themeColor="accent5"/>
        </w:rPr>
        <w:t>y, especially to the eye.</w:t>
      </w:r>
    </w:p>
    <w:p w:rsidR="00DB253B" w:rsidRPr="00877D81" w:rsidRDefault="00DB253B">
      <w:pPr>
        <w:rPr>
          <w:rFonts w:ascii="Times New Roman" w:hAnsi="Times New Roman" w:cs="Times New Roman"/>
          <w:color w:val="4472C4" w:themeColor="accent5"/>
        </w:rPr>
        <w:sectPr w:rsidR="00DB253B" w:rsidRPr="00877D8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52983" w:rsidRPr="00877D81" w:rsidRDefault="00A52983" w:rsidP="00DB253B">
      <w:pPr>
        <w:tabs>
          <w:tab w:val="left" w:pos="1215"/>
        </w:tabs>
        <w:rPr>
          <w:rFonts w:ascii="Times New Roman" w:hAnsi="Times New Roman" w:cs="Times New Roman"/>
          <w:color w:val="4472C4" w:themeColor="accent5"/>
        </w:rPr>
      </w:pPr>
    </w:p>
    <w:sectPr w:rsidR="00A52983" w:rsidRPr="00877D81" w:rsidSect="00DB253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261E"/>
    <w:multiLevelType w:val="hybridMultilevel"/>
    <w:tmpl w:val="7ABE36B2"/>
    <w:lvl w:ilvl="0" w:tplc="8C7838F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E5"/>
    <w:rsid w:val="00162847"/>
    <w:rsid w:val="00180DA0"/>
    <w:rsid w:val="001B4165"/>
    <w:rsid w:val="006A358F"/>
    <w:rsid w:val="006A792D"/>
    <w:rsid w:val="00877D81"/>
    <w:rsid w:val="008A7E58"/>
    <w:rsid w:val="008D633B"/>
    <w:rsid w:val="00910714"/>
    <w:rsid w:val="009221B1"/>
    <w:rsid w:val="009E5089"/>
    <w:rsid w:val="00A22FF7"/>
    <w:rsid w:val="00A52983"/>
    <w:rsid w:val="00BD1024"/>
    <w:rsid w:val="00DB253B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467C"/>
  <w15:chartTrackingRefBased/>
  <w15:docId w15:val="{517DB450-E500-4504-A9E0-14FCCDC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Krystal Maharaj</cp:lastModifiedBy>
  <cp:revision>10</cp:revision>
  <dcterms:created xsi:type="dcterms:W3CDTF">2018-09-21T10:00:00Z</dcterms:created>
  <dcterms:modified xsi:type="dcterms:W3CDTF">2018-09-23T00:14:00Z</dcterms:modified>
</cp:coreProperties>
</file>