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7CAAC" w:themeColor="accent2" w:themeTint="66"/>
  <w:body>
    <w:p w:rsidR="00180DA0" w:rsidRPr="006C465B" w:rsidRDefault="00F722E5">
      <w:pPr>
        <w:rPr>
          <w:rFonts w:ascii="Times New Roman" w:hAnsi="Times New Roman" w:cs="Times New Roman"/>
          <w:b/>
          <w:color w:val="2F5496" w:themeColor="accent5" w:themeShade="BF"/>
          <w:sz w:val="28"/>
          <w:szCs w:val="28"/>
        </w:rPr>
      </w:pPr>
      <w:r w:rsidRPr="006C465B">
        <w:rPr>
          <w:rFonts w:ascii="Times New Roman" w:hAnsi="Times New Roman" w:cs="Times New Roman"/>
          <w:b/>
          <w:color w:val="2F5496" w:themeColor="accent5" w:themeShade="BF"/>
          <w:sz w:val="28"/>
          <w:szCs w:val="28"/>
        </w:rPr>
        <w:t>Intravenous Regional Anaesthesia (IVRA)</w:t>
      </w:r>
      <w:bookmarkStart w:id="0" w:name="_GoBack"/>
      <w:bookmarkEnd w:id="0"/>
    </w:p>
    <w:p w:rsidR="00126358" w:rsidRPr="006C465B" w:rsidRDefault="00126358">
      <w:pPr>
        <w:rPr>
          <w:rFonts w:ascii="Times New Roman" w:hAnsi="Times New Roman" w:cs="Times New Roman"/>
          <w:color w:val="2F5496" w:themeColor="accent5" w:themeShade="BF"/>
        </w:rPr>
      </w:pPr>
      <w:r w:rsidRPr="006C465B">
        <w:rPr>
          <w:rFonts w:ascii="Times New Roman" w:hAnsi="Times New Roman" w:cs="Times New Roman"/>
          <w:b/>
          <w:color w:val="2F5496" w:themeColor="accent5" w:themeShade="BF"/>
        </w:rPr>
        <w:t>Intra-procedure</w:t>
      </w:r>
    </w:p>
    <w:p w:rsidR="00126358" w:rsidRPr="006C465B" w:rsidRDefault="00126358">
      <w:pPr>
        <w:rPr>
          <w:rFonts w:ascii="Times New Roman" w:hAnsi="Times New Roman" w:cs="Times New Roman"/>
          <w:color w:val="2F5496" w:themeColor="accent5" w:themeShade="BF"/>
        </w:rPr>
      </w:pPr>
    </w:p>
    <w:p w:rsidR="00126358" w:rsidRPr="006C465B" w:rsidRDefault="00126358">
      <w:pPr>
        <w:rPr>
          <w:rFonts w:ascii="Times New Roman" w:hAnsi="Times New Roman" w:cs="Times New Roman"/>
          <w:b/>
          <w:color w:val="2F5496" w:themeColor="accent5" w:themeShade="BF"/>
          <w:sz w:val="28"/>
        </w:rPr>
      </w:pPr>
      <w:r w:rsidRPr="006C465B">
        <w:rPr>
          <w:rFonts w:ascii="Times New Roman" w:hAnsi="Times New Roman" w:cs="Times New Roman"/>
          <w:b/>
          <w:color w:val="2F5496" w:themeColor="accent5" w:themeShade="BF"/>
          <w:sz w:val="28"/>
        </w:rPr>
        <w:t>Method</w:t>
      </w:r>
    </w:p>
    <w:p w:rsidR="00686402" w:rsidRPr="006C465B" w:rsidRDefault="00686402">
      <w:pPr>
        <w:rPr>
          <w:rFonts w:ascii="Times New Roman" w:hAnsi="Times New Roman" w:cs="Times New Roman"/>
          <w:color w:val="538135" w:themeColor="accent6" w:themeShade="BF"/>
        </w:rPr>
      </w:pPr>
    </w:p>
    <w:p w:rsidR="00686402" w:rsidRPr="006C465B" w:rsidRDefault="00686402" w:rsidP="00686402">
      <w:pPr>
        <w:pStyle w:val="ListParagraph"/>
        <w:numPr>
          <w:ilvl w:val="0"/>
          <w:numId w:val="1"/>
        </w:numPr>
        <w:rPr>
          <w:rFonts w:ascii="Times New Roman" w:hAnsi="Times New Roman" w:cs="Times New Roman"/>
          <w:color w:val="538135" w:themeColor="accent6" w:themeShade="BF"/>
          <w:sz w:val="24"/>
        </w:rPr>
      </w:pPr>
      <w:r w:rsidRPr="006C465B">
        <w:rPr>
          <w:rFonts w:ascii="Times New Roman" w:hAnsi="Times New Roman" w:cs="Times New Roman"/>
          <w:color w:val="538135" w:themeColor="accent6" w:themeShade="BF"/>
          <w:sz w:val="24"/>
        </w:rPr>
        <w:t>The cow is restrained using a halter firmly secured to a stanchion.</w:t>
      </w:r>
    </w:p>
    <w:p w:rsidR="00686402" w:rsidRPr="006C465B" w:rsidRDefault="00686402" w:rsidP="00686402">
      <w:pPr>
        <w:pStyle w:val="ListParagraph"/>
        <w:rPr>
          <w:rFonts w:ascii="Times New Roman" w:hAnsi="Times New Roman" w:cs="Times New Roman"/>
          <w:color w:val="538135" w:themeColor="accent6" w:themeShade="BF"/>
          <w:sz w:val="24"/>
        </w:rPr>
      </w:pPr>
    </w:p>
    <w:p w:rsidR="00686402" w:rsidRPr="006C465B" w:rsidRDefault="00686402" w:rsidP="00686402">
      <w:pPr>
        <w:pStyle w:val="ListParagraph"/>
        <w:numPr>
          <w:ilvl w:val="0"/>
          <w:numId w:val="1"/>
        </w:numPr>
        <w:rPr>
          <w:rFonts w:ascii="Times New Roman" w:hAnsi="Times New Roman" w:cs="Times New Roman"/>
          <w:color w:val="538135" w:themeColor="accent6" w:themeShade="BF"/>
          <w:sz w:val="24"/>
        </w:rPr>
      </w:pPr>
      <w:r w:rsidRPr="006C465B">
        <w:rPr>
          <w:rFonts w:ascii="Times New Roman" w:hAnsi="Times New Roman" w:cs="Times New Roman"/>
          <w:color w:val="538135" w:themeColor="accent6" w:themeShade="BF"/>
          <w:sz w:val="24"/>
        </w:rPr>
        <w:t>The area is cleaned with alcohol swabs in order to minimize the risk of infection during the procedure.</w:t>
      </w:r>
    </w:p>
    <w:p w:rsidR="00686402" w:rsidRPr="006C465B" w:rsidRDefault="00686402" w:rsidP="00686402">
      <w:pPr>
        <w:pStyle w:val="ListParagraph"/>
        <w:rPr>
          <w:rFonts w:ascii="Times New Roman" w:hAnsi="Times New Roman" w:cs="Times New Roman"/>
          <w:color w:val="538135" w:themeColor="accent6" w:themeShade="BF"/>
          <w:sz w:val="24"/>
        </w:rPr>
      </w:pPr>
    </w:p>
    <w:p w:rsidR="00686402" w:rsidRPr="006C465B" w:rsidRDefault="00686402" w:rsidP="00686402">
      <w:pPr>
        <w:pStyle w:val="ListParagraph"/>
        <w:numPr>
          <w:ilvl w:val="0"/>
          <w:numId w:val="1"/>
        </w:numPr>
        <w:rPr>
          <w:rFonts w:ascii="Times New Roman" w:hAnsi="Times New Roman" w:cs="Times New Roman"/>
          <w:color w:val="538135" w:themeColor="accent6" w:themeShade="BF"/>
          <w:sz w:val="24"/>
        </w:rPr>
      </w:pPr>
      <w:r w:rsidRPr="006C465B">
        <w:rPr>
          <w:rFonts w:ascii="Times New Roman" w:hAnsi="Times New Roman" w:cs="Times New Roman"/>
          <w:color w:val="538135" w:themeColor="accent6" w:themeShade="BF"/>
          <w:sz w:val="24"/>
        </w:rPr>
        <w:t>The tourniquet is applied carefully yet firmly above the hock joint to allow for constriction of the superficial blood vessels in the distal limb. Upon completion of the tourniquet, the time must be recorded.</w:t>
      </w:r>
    </w:p>
    <w:p w:rsidR="00686402" w:rsidRPr="006C465B" w:rsidRDefault="00B24346" w:rsidP="00686402">
      <w:pPr>
        <w:pStyle w:val="ListParagraph"/>
        <w:rPr>
          <w:rFonts w:ascii="Times New Roman" w:hAnsi="Times New Roman" w:cs="Times New Roman"/>
          <w:color w:val="538135" w:themeColor="accent6" w:themeShade="BF"/>
          <w:sz w:val="24"/>
        </w:rPr>
      </w:pPr>
      <w:r w:rsidRPr="006C465B">
        <w:rPr>
          <w:rFonts w:ascii="Times New Roman" w:hAnsi="Times New Roman" w:cs="Times New Roman"/>
          <w:color w:val="538135" w:themeColor="accent6" w:themeShade="BF"/>
          <w:sz w:val="24"/>
        </w:rPr>
        <w:t>(</w:t>
      </w:r>
      <w:r w:rsidRPr="006C465B">
        <w:rPr>
          <w:rFonts w:ascii="Times New Roman" w:hAnsi="Times New Roman" w:cs="Times New Roman"/>
          <w:b/>
          <w:color w:val="538135" w:themeColor="accent6" w:themeShade="BF"/>
          <w:sz w:val="24"/>
        </w:rPr>
        <w:t>N.B.</w:t>
      </w:r>
      <w:r w:rsidRPr="006C465B">
        <w:rPr>
          <w:rFonts w:ascii="Times New Roman" w:hAnsi="Times New Roman" w:cs="Times New Roman"/>
          <w:color w:val="538135" w:themeColor="accent6" w:themeShade="BF"/>
          <w:sz w:val="24"/>
        </w:rPr>
        <w:t xml:space="preserve"> The tourniquet can be left on the cow’s limb safely for </w:t>
      </w:r>
      <w:r w:rsidRPr="006C465B">
        <w:rPr>
          <w:rFonts w:ascii="Times New Roman" w:hAnsi="Times New Roman" w:cs="Times New Roman"/>
          <w:b/>
          <w:color w:val="538135" w:themeColor="accent6" w:themeShade="BF"/>
          <w:sz w:val="24"/>
          <w:u w:val="single"/>
        </w:rPr>
        <w:t>90 minutes at most</w:t>
      </w:r>
      <w:r w:rsidRPr="006C465B">
        <w:rPr>
          <w:rFonts w:ascii="Times New Roman" w:hAnsi="Times New Roman" w:cs="Times New Roman"/>
          <w:color w:val="538135" w:themeColor="accent6" w:themeShade="BF"/>
          <w:sz w:val="24"/>
        </w:rPr>
        <w:t xml:space="preserve">. However, for safety, our maximum time of use was set at </w:t>
      </w:r>
      <w:r w:rsidRPr="006C465B">
        <w:rPr>
          <w:rFonts w:ascii="Times New Roman" w:hAnsi="Times New Roman" w:cs="Times New Roman"/>
          <w:b/>
          <w:color w:val="538135" w:themeColor="accent6" w:themeShade="BF"/>
          <w:sz w:val="24"/>
          <w:u w:val="single"/>
        </w:rPr>
        <w:t>60 minutes</w:t>
      </w:r>
      <w:r w:rsidRPr="006C465B">
        <w:rPr>
          <w:rFonts w:ascii="Times New Roman" w:hAnsi="Times New Roman" w:cs="Times New Roman"/>
          <w:color w:val="538135" w:themeColor="accent6" w:themeShade="BF"/>
          <w:sz w:val="24"/>
        </w:rPr>
        <w:t>.)</w:t>
      </w:r>
    </w:p>
    <w:p w:rsidR="00B24346" w:rsidRPr="006C465B" w:rsidRDefault="00B24346" w:rsidP="00686402">
      <w:pPr>
        <w:pStyle w:val="ListParagraph"/>
        <w:rPr>
          <w:rFonts w:ascii="Times New Roman" w:hAnsi="Times New Roman" w:cs="Times New Roman"/>
          <w:color w:val="538135" w:themeColor="accent6" w:themeShade="BF"/>
          <w:sz w:val="24"/>
        </w:rPr>
      </w:pPr>
    </w:p>
    <w:p w:rsidR="00BF0AC2" w:rsidRPr="006C465B" w:rsidRDefault="00BF0AC2" w:rsidP="00686402">
      <w:pPr>
        <w:pStyle w:val="ListParagraph"/>
        <w:numPr>
          <w:ilvl w:val="0"/>
          <w:numId w:val="1"/>
        </w:numPr>
        <w:rPr>
          <w:rFonts w:ascii="Times New Roman" w:hAnsi="Times New Roman" w:cs="Times New Roman"/>
          <w:color w:val="538135" w:themeColor="accent6" w:themeShade="BF"/>
          <w:sz w:val="24"/>
        </w:rPr>
      </w:pPr>
      <w:r w:rsidRPr="006C465B">
        <w:rPr>
          <w:rFonts w:ascii="Times New Roman" w:hAnsi="Times New Roman" w:cs="Times New Roman"/>
          <w:color w:val="538135" w:themeColor="accent6" w:themeShade="BF"/>
          <w:sz w:val="24"/>
        </w:rPr>
        <w:t>Palpate area in order to confirm the location of the desired blood vessel for use (dorsal common digital vein or cranial branch of the lateral saphenous vein).</w:t>
      </w:r>
    </w:p>
    <w:p w:rsidR="00BF0AC2" w:rsidRPr="006C465B" w:rsidRDefault="00BF0AC2" w:rsidP="00BF0AC2">
      <w:pPr>
        <w:pStyle w:val="ListParagraph"/>
        <w:rPr>
          <w:rFonts w:ascii="Times New Roman" w:hAnsi="Times New Roman" w:cs="Times New Roman"/>
          <w:color w:val="538135" w:themeColor="accent6" w:themeShade="BF"/>
          <w:sz w:val="24"/>
        </w:rPr>
      </w:pPr>
    </w:p>
    <w:p w:rsidR="00BF0AC2" w:rsidRPr="006C465B" w:rsidRDefault="00BF0AC2" w:rsidP="00BF0AC2">
      <w:pPr>
        <w:pStyle w:val="ListParagraph"/>
        <w:numPr>
          <w:ilvl w:val="0"/>
          <w:numId w:val="1"/>
        </w:numPr>
        <w:rPr>
          <w:rFonts w:ascii="Times New Roman" w:hAnsi="Times New Roman" w:cs="Times New Roman"/>
          <w:color w:val="538135" w:themeColor="accent6" w:themeShade="BF"/>
          <w:sz w:val="24"/>
        </w:rPr>
      </w:pPr>
      <w:r w:rsidRPr="006C465B">
        <w:rPr>
          <w:rFonts w:ascii="Times New Roman" w:hAnsi="Times New Roman" w:cs="Times New Roman"/>
          <w:color w:val="538135" w:themeColor="accent6" w:themeShade="BF"/>
          <w:sz w:val="24"/>
        </w:rPr>
        <w:t>A 19-gauge, 1” needle or a 22-gauge butterfly catheter is inserted in the chosen blood vessel.</w:t>
      </w:r>
    </w:p>
    <w:p w:rsidR="00BF0AC2" w:rsidRPr="006C465B" w:rsidRDefault="00BF0AC2" w:rsidP="00BF0AC2">
      <w:pPr>
        <w:pStyle w:val="ListParagraph"/>
        <w:rPr>
          <w:rFonts w:ascii="Times New Roman" w:hAnsi="Times New Roman" w:cs="Times New Roman"/>
          <w:color w:val="538135" w:themeColor="accent6" w:themeShade="BF"/>
          <w:sz w:val="24"/>
        </w:rPr>
      </w:pPr>
    </w:p>
    <w:p w:rsidR="00BF0AC2" w:rsidRPr="006C465B" w:rsidRDefault="00BF0AC2" w:rsidP="00BF0AC2">
      <w:pPr>
        <w:pStyle w:val="ListParagraph"/>
        <w:numPr>
          <w:ilvl w:val="1"/>
          <w:numId w:val="1"/>
        </w:numPr>
        <w:rPr>
          <w:rFonts w:ascii="Times New Roman" w:hAnsi="Times New Roman" w:cs="Times New Roman"/>
          <w:color w:val="538135" w:themeColor="accent6" w:themeShade="BF"/>
          <w:sz w:val="24"/>
        </w:rPr>
      </w:pPr>
      <w:r w:rsidRPr="006C465B">
        <w:rPr>
          <w:rFonts w:ascii="Times New Roman" w:hAnsi="Times New Roman" w:cs="Times New Roman"/>
          <w:color w:val="538135" w:themeColor="accent6" w:themeShade="BF"/>
          <w:sz w:val="24"/>
        </w:rPr>
        <w:t>If the needle is used, once it is directly positioned in the blood vessel,</w:t>
      </w:r>
      <w:r w:rsidR="006C465B">
        <w:rPr>
          <w:rFonts w:ascii="Times New Roman" w:hAnsi="Times New Roman" w:cs="Times New Roman"/>
          <w:color w:val="538135" w:themeColor="accent6" w:themeShade="BF"/>
          <w:sz w:val="24"/>
        </w:rPr>
        <w:t xml:space="preserve"> blood will be seen in the hub of the needle</w:t>
      </w:r>
      <w:r w:rsidR="0091666C" w:rsidRPr="006C465B">
        <w:rPr>
          <w:rFonts w:ascii="Times New Roman" w:hAnsi="Times New Roman" w:cs="Times New Roman"/>
          <w:color w:val="538135" w:themeColor="accent6" w:themeShade="BF"/>
          <w:sz w:val="24"/>
        </w:rPr>
        <w:t xml:space="preserve">. </w:t>
      </w:r>
      <w:r w:rsidR="006C465B">
        <w:rPr>
          <w:rFonts w:ascii="Times New Roman" w:hAnsi="Times New Roman" w:cs="Times New Roman"/>
          <w:color w:val="538135" w:themeColor="accent6" w:themeShade="BF"/>
          <w:sz w:val="24"/>
        </w:rPr>
        <w:t>then</w:t>
      </w:r>
      <w:r w:rsidR="0091666C" w:rsidRPr="006C465B">
        <w:rPr>
          <w:rFonts w:ascii="Times New Roman" w:hAnsi="Times New Roman" w:cs="Times New Roman"/>
          <w:color w:val="538135" w:themeColor="accent6" w:themeShade="BF"/>
          <w:sz w:val="24"/>
        </w:rPr>
        <w:t>,</w:t>
      </w:r>
      <w:r w:rsidRPr="006C465B">
        <w:rPr>
          <w:rFonts w:ascii="Times New Roman" w:hAnsi="Times New Roman" w:cs="Times New Roman"/>
          <w:color w:val="538135" w:themeColor="accent6" w:themeShade="BF"/>
          <w:sz w:val="24"/>
        </w:rPr>
        <w:t xml:space="preserve"> carefully </w:t>
      </w:r>
      <w:r w:rsidR="0091666C" w:rsidRPr="006C465B">
        <w:rPr>
          <w:rFonts w:ascii="Times New Roman" w:hAnsi="Times New Roman" w:cs="Times New Roman"/>
          <w:color w:val="538135" w:themeColor="accent6" w:themeShade="BF"/>
          <w:sz w:val="24"/>
        </w:rPr>
        <w:t xml:space="preserve">attach syringe and </w:t>
      </w:r>
      <w:r w:rsidRPr="006C465B">
        <w:rPr>
          <w:rFonts w:ascii="Times New Roman" w:hAnsi="Times New Roman" w:cs="Times New Roman"/>
          <w:color w:val="538135" w:themeColor="accent6" w:themeShade="BF"/>
          <w:sz w:val="24"/>
        </w:rPr>
        <w:t>administer drug.</w:t>
      </w:r>
    </w:p>
    <w:p w:rsidR="00BF0AC2" w:rsidRPr="006C465B" w:rsidRDefault="00BF0AC2" w:rsidP="00BF0AC2">
      <w:pPr>
        <w:pStyle w:val="ListParagraph"/>
        <w:numPr>
          <w:ilvl w:val="1"/>
          <w:numId w:val="1"/>
        </w:numPr>
        <w:rPr>
          <w:rFonts w:ascii="Times New Roman" w:hAnsi="Times New Roman" w:cs="Times New Roman"/>
          <w:color w:val="538135" w:themeColor="accent6" w:themeShade="BF"/>
          <w:sz w:val="24"/>
        </w:rPr>
      </w:pPr>
      <w:r w:rsidRPr="006C465B">
        <w:rPr>
          <w:rFonts w:ascii="Times New Roman" w:hAnsi="Times New Roman" w:cs="Times New Roman"/>
          <w:color w:val="538135" w:themeColor="accent6" w:themeShade="BF"/>
          <w:sz w:val="24"/>
        </w:rPr>
        <w:t xml:space="preserve">If catheter is used, ensure that there is blood entering the catheter tube to confirm its position in the blood vessel. Then, attach syringe with drug and carefully </w:t>
      </w:r>
      <w:r w:rsidR="00B24346" w:rsidRPr="006C465B">
        <w:rPr>
          <w:rFonts w:ascii="Times New Roman" w:hAnsi="Times New Roman" w:cs="Times New Roman"/>
          <w:color w:val="538135" w:themeColor="accent6" w:themeShade="BF"/>
          <w:sz w:val="24"/>
        </w:rPr>
        <w:t>inject</w:t>
      </w:r>
      <w:r w:rsidRPr="006C465B">
        <w:rPr>
          <w:rFonts w:ascii="Times New Roman" w:hAnsi="Times New Roman" w:cs="Times New Roman"/>
          <w:color w:val="538135" w:themeColor="accent6" w:themeShade="BF"/>
          <w:sz w:val="24"/>
        </w:rPr>
        <w:t xml:space="preserve"> drug.</w:t>
      </w:r>
    </w:p>
    <w:p w:rsidR="00BF0AC2" w:rsidRPr="006C465B" w:rsidRDefault="00B24346" w:rsidP="00BF0AC2">
      <w:pPr>
        <w:ind w:left="1080"/>
        <w:rPr>
          <w:rFonts w:ascii="Times New Roman" w:hAnsi="Times New Roman" w:cs="Times New Roman"/>
          <w:color w:val="538135" w:themeColor="accent6" w:themeShade="BF"/>
          <w:sz w:val="24"/>
        </w:rPr>
      </w:pPr>
      <w:r w:rsidRPr="006C465B">
        <w:rPr>
          <w:rFonts w:ascii="Times New Roman" w:hAnsi="Times New Roman" w:cs="Times New Roman"/>
          <w:color w:val="538135" w:themeColor="accent6" w:themeShade="BF"/>
          <w:sz w:val="24"/>
        </w:rPr>
        <w:t>Remove the needle or catheter and g</w:t>
      </w:r>
      <w:r w:rsidR="00BF0AC2" w:rsidRPr="006C465B">
        <w:rPr>
          <w:rFonts w:ascii="Times New Roman" w:hAnsi="Times New Roman" w:cs="Times New Roman"/>
          <w:color w:val="538135" w:themeColor="accent6" w:themeShade="BF"/>
          <w:sz w:val="24"/>
        </w:rPr>
        <w:t>ently</w:t>
      </w:r>
      <w:r w:rsidRPr="006C465B">
        <w:rPr>
          <w:rFonts w:ascii="Times New Roman" w:hAnsi="Times New Roman" w:cs="Times New Roman"/>
          <w:color w:val="538135" w:themeColor="accent6" w:themeShade="BF"/>
          <w:sz w:val="24"/>
        </w:rPr>
        <w:t xml:space="preserve"> massage area to prevent haematoma formation.</w:t>
      </w:r>
    </w:p>
    <w:p w:rsidR="00B24346" w:rsidRPr="006C465B" w:rsidRDefault="00B24346" w:rsidP="00BF0AC2">
      <w:pPr>
        <w:ind w:left="1080"/>
        <w:rPr>
          <w:rFonts w:ascii="Times New Roman" w:hAnsi="Times New Roman" w:cs="Times New Roman"/>
          <w:color w:val="538135" w:themeColor="accent6" w:themeShade="BF"/>
        </w:rPr>
      </w:pPr>
    </w:p>
    <w:sectPr w:rsidR="00B24346" w:rsidRPr="006C46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B6127"/>
    <w:multiLevelType w:val="hybridMultilevel"/>
    <w:tmpl w:val="42B220F6"/>
    <w:lvl w:ilvl="0" w:tplc="8332839A">
      <w:numFmt w:val="bullet"/>
      <w:lvlText w:val="-"/>
      <w:lvlJc w:val="left"/>
      <w:pPr>
        <w:ind w:left="720" w:hanging="360"/>
      </w:pPr>
      <w:rPr>
        <w:rFonts w:ascii="Times New Roman" w:eastAsiaTheme="minorHAnsi" w:hAnsi="Times New Roman" w:cs="Times New Roman"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E5"/>
    <w:rsid w:val="00126358"/>
    <w:rsid w:val="00180DA0"/>
    <w:rsid w:val="001C76C7"/>
    <w:rsid w:val="00686402"/>
    <w:rsid w:val="006A358F"/>
    <w:rsid w:val="006C465B"/>
    <w:rsid w:val="0091666C"/>
    <w:rsid w:val="00B24346"/>
    <w:rsid w:val="00BF0AC2"/>
    <w:rsid w:val="00F722E5"/>
    <w:rsid w:val="00FA27D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5274"/>
  <w15:chartTrackingRefBased/>
  <w15:docId w15:val="{517DB450-E500-4504-A9E0-14FCCDC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Krystal Maharaj</cp:lastModifiedBy>
  <cp:revision>7</cp:revision>
  <dcterms:created xsi:type="dcterms:W3CDTF">2018-09-21T09:54:00Z</dcterms:created>
  <dcterms:modified xsi:type="dcterms:W3CDTF">2018-09-22T23:57:00Z</dcterms:modified>
</cp:coreProperties>
</file>