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W w:w="12140" w:type="dxa"/>
        <w:jc w:val="center"/>
        <w:tblLook w:val="04A0" w:firstRow="1" w:lastRow="0" w:firstColumn="1" w:lastColumn="0" w:noHBand="0" w:noVBand="1"/>
      </w:tblPr>
      <w:tblGrid>
        <w:gridCol w:w="1894"/>
        <w:gridCol w:w="1638"/>
        <w:gridCol w:w="1642"/>
        <w:gridCol w:w="2007"/>
        <w:gridCol w:w="4959"/>
      </w:tblGrid>
      <w:tr w:rsidR="0045744A" w14:paraId="500A3F60" w14:textId="77777777" w:rsidTr="00457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5174E7CF" w14:textId="77777777" w:rsidR="00EC46AA" w:rsidRDefault="00EC46AA">
            <w:r>
              <w:t>Drug</w:t>
            </w:r>
          </w:p>
        </w:tc>
        <w:tc>
          <w:tcPr>
            <w:tcW w:w="1638" w:type="dxa"/>
          </w:tcPr>
          <w:p w14:paraId="0CEDD654" w14:textId="77777777" w:rsidR="00EC46AA" w:rsidRDefault="00EC4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Concentration</w:t>
            </w:r>
          </w:p>
        </w:tc>
        <w:tc>
          <w:tcPr>
            <w:tcW w:w="1581" w:type="dxa"/>
          </w:tcPr>
          <w:p w14:paraId="1B441E19" w14:textId="77777777" w:rsidR="00EC46AA" w:rsidRDefault="00EC4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Active ingredient</w:t>
            </w:r>
          </w:p>
        </w:tc>
        <w:tc>
          <w:tcPr>
            <w:tcW w:w="2019" w:type="dxa"/>
          </w:tcPr>
          <w:p w14:paraId="1F4366CC" w14:textId="77777777" w:rsidR="00EC46AA" w:rsidRDefault="00EC4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Indications</w:t>
            </w:r>
          </w:p>
        </w:tc>
        <w:tc>
          <w:tcPr>
            <w:tcW w:w="5008" w:type="dxa"/>
          </w:tcPr>
          <w:p w14:paraId="77CB5F0C" w14:textId="77777777" w:rsidR="00EC46AA" w:rsidRDefault="00EC4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Precautions &amp;Contraindications</w:t>
            </w:r>
          </w:p>
        </w:tc>
      </w:tr>
      <w:tr w:rsidR="0045744A" w14:paraId="08C3B714" w14:textId="77777777" w:rsidTr="00457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342E34FF" w14:textId="77777777" w:rsidR="00EC46AA" w:rsidRDefault="00EC46AA" w:rsidP="00EC46AA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r>
              <w:t xml:space="preserve">Ketamine </w:t>
            </w:r>
          </w:p>
          <w:p w14:paraId="6BB3DC6C" w14:textId="77777777" w:rsidR="00EC46AA" w:rsidRPr="00EC46AA" w:rsidRDefault="00EC46AA" w:rsidP="00EC46AA">
            <w:pPr>
              <w:pStyle w:val="ListParagraph"/>
            </w:pPr>
          </w:p>
        </w:tc>
        <w:tc>
          <w:tcPr>
            <w:tcW w:w="1638" w:type="dxa"/>
          </w:tcPr>
          <w:p w14:paraId="6E1C0781" w14:textId="02280842" w:rsidR="00EC46AA" w:rsidRDefault="0045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1581" w:type="dxa"/>
          </w:tcPr>
          <w:p w14:paraId="4458CBD6" w14:textId="00CFBFA1" w:rsidR="00EC46AA" w:rsidRDefault="00983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Ketamine hydrochloride.</w:t>
            </w:r>
          </w:p>
        </w:tc>
        <w:tc>
          <w:tcPr>
            <w:tcW w:w="2019" w:type="dxa"/>
          </w:tcPr>
          <w:p w14:paraId="1D90A0D8" w14:textId="4B2D3252" w:rsidR="00EC46AA" w:rsidRDefault="00395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Used for its analgesic properties, and it </w:t>
            </w:r>
            <w:proofErr w:type="spellStart"/>
            <w:r>
              <w:t>decreses</w:t>
            </w:r>
            <w:proofErr w:type="spellEnd"/>
            <w:r>
              <w:t xml:space="preserve"> the ‘wind up’ effect.</w:t>
            </w:r>
          </w:p>
        </w:tc>
        <w:tc>
          <w:tcPr>
            <w:tcW w:w="5008" w:type="dxa"/>
          </w:tcPr>
          <w:p w14:paraId="49E18D7E" w14:textId="77777777" w:rsidR="00983034" w:rsidRDefault="00983034" w:rsidP="008C1A8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It should not be used alone for </w:t>
            </w:r>
            <w:r>
              <w:rPr>
                <w:rFonts w:ascii="Times" w:hAnsi="Times" w:cs="Times"/>
                <w:color w:val="000000"/>
              </w:rPr>
              <w:t>major surgery</w:t>
            </w:r>
            <w:r>
              <w:rPr>
                <w:rFonts w:ascii="Times" w:hAnsi="Times" w:cs="Times"/>
                <w:color w:val="000000"/>
              </w:rPr>
              <w:t xml:space="preserve"> and should be used in combination with another drug </w:t>
            </w:r>
            <w:proofErr w:type="spellStart"/>
            <w:r>
              <w:rPr>
                <w:rFonts w:ascii="Times" w:hAnsi="Times" w:cs="Times"/>
                <w:color w:val="000000"/>
              </w:rPr>
              <w:t>eg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Xylaine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or Atropine</w:t>
            </w:r>
          </w:p>
          <w:p w14:paraId="43625950" w14:textId="6E7EC4A1" w:rsidR="008C1A8A" w:rsidRDefault="00983034" w:rsidP="008C1A8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</w:t>
            </w:r>
            <w:r w:rsidR="008C1A8A" w:rsidRPr="00C51095">
              <w:rPr>
                <w:rFonts w:cs="Times"/>
                <w:color w:val="000000"/>
              </w:rPr>
              <w:t>etamine can cause increases in CSF pressure and it should not be used in patients with high</w:t>
            </w:r>
            <w:r>
              <w:rPr>
                <w:rFonts w:cs="Times"/>
                <w:color w:val="000000"/>
              </w:rPr>
              <w:t xml:space="preserve"> intra </w:t>
            </w:r>
            <w:proofErr w:type="spellStart"/>
            <w:r>
              <w:rPr>
                <w:rFonts w:cs="Times"/>
                <w:color w:val="000000"/>
              </w:rPr>
              <w:t>oculadr</w:t>
            </w:r>
            <w:proofErr w:type="spellEnd"/>
            <w:r w:rsidR="008C1A8A" w:rsidRPr="00C51095">
              <w:rPr>
                <w:rFonts w:cs="Times"/>
                <w:color w:val="000000"/>
              </w:rPr>
              <w:t xml:space="preserve"> pressures or when head trauma has occurred. It should generally not be used in animals with preexisting seizure disorders without caution.</w:t>
            </w:r>
            <w:r w:rsidR="00EB25A1">
              <w:rPr>
                <w:rFonts w:cs="Times"/>
                <w:color w:val="000000"/>
              </w:rPr>
              <w:t xml:space="preserve"> It should not be used in procedures involving the pharynx, larynx or trachea.</w:t>
            </w:r>
            <w:r w:rsidR="008C1A8A" w:rsidRPr="00C51095">
              <w:rPr>
                <w:rFonts w:cs="Times"/>
                <w:color w:val="000000"/>
              </w:rPr>
              <w:t xml:space="preserve"> Ketamine can increase heart rate, increase blood pressure and should be avoided in patients where an increase in heart rate, blood pressure and myocardial</w:t>
            </w:r>
            <w:r w:rsidR="008C1A8A">
              <w:rPr>
                <w:rFonts w:ascii="Times" w:hAnsi="Times" w:cs="Times"/>
                <w:color w:val="000000"/>
              </w:rPr>
              <w:t xml:space="preserve"> oxygen consumption can be detrimental (</w:t>
            </w:r>
            <w:proofErr w:type="spellStart"/>
            <w:r w:rsidR="008C1A8A">
              <w:rPr>
                <w:rFonts w:ascii="Times" w:hAnsi="Times" w:cs="Times"/>
                <w:color w:val="000000"/>
              </w:rPr>
              <w:t>eg</w:t>
            </w:r>
            <w:proofErr w:type="spellEnd"/>
            <w:r w:rsidR="008C1A8A">
              <w:rPr>
                <w:rFonts w:ascii="Times" w:hAnsi="Times" w:cs="Times"/>
                <w:color w:val="000000"/>
              </w:rPr>
              <w:t>. shock or conges</w:t>
            </w:r>
            <w:r>
              <w:rPr>
                <w:rFonts w:ascii="Times" w:hAnsi="Times" w:cs="Times"/>
                <w:color w:val="000000"/>
              </w:rPr>
              <w:t>tive heart failure).</w:t>
            </w:r>
          </w:p>
          <w:p w14:paraId="3CF74068" w14:textId="77777777" w:rsidR="00983034" w:rsidRDefault="00983034" w:rsidP="008C1A8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</w:rPr>
            </w:pPr>
          </w:p>
          <w:p w14:paraId="746EA31B" w14:textId="086A18E9" w:rsidR="00983034" w:rsidRDefault="00983034" w:rsidP="008C1A8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Adverse effects in cattle include </w:t>
            </w:r>
            <w:proofErr w:type="spellStart"/>
            <w:r>
              <w:rPr>
                <w:rFonts w:ascii="Times" w:hAnsi="Times" w:cs="Times"/>
                <w:color w:val="000000"/>
              </w:rPr>
              <w:t>hypersalivation</w:t>
            </w:r>
            <w:proofErr w:type="spellEnd"/>
            <w:r>
              <w:rPr>
                <w:rFonts w:ascii="Times" w:hAnsi="Times" w:cs="Times"/>
                <w:color w:val="000000"/>
              </w:rPr>
              <w:t>, and pain after IM injection.</w:t>
            </w:r>
          </w:p>
          <w:p w14:paraId="5077389D" w14:textId="77777777" w:rsidR="00EC46AA" w:rsidRDefault="00EC4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45744A" w14:paraId="0F96F25D" w14:textId="77777777" w:rsidTr="004574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57533E26" w14:textId="77777777" w:rsidR="00EC46AA" w:rsidRPr="00EC46AA" w:rsidRDefault="00EC46AA" w:rsidP="00EC46A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Xylazine</w:t>
            </w:r>
            <w:proofErr w:type="spellEnd"/>
          </w:p>
        </w:tc>
        <w:tc>
          <w:tcPr>
            <w:tcW w:w="1638" w:type="dxa"/>
          </w:tcPr>
          <w:p w14:paraId="2F842760" w14:textId="359449AA" w:rsidR="00EC46AA" w:rsidRDefault="009A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2%</w:t>
            </w:r>
          </w:p>
        </w:tc>
        <w:tc>
          <w:tcPr>
            <w:tcW w:w="1581" w:type="dxa"/>
          </w:tcPr>
          <w:p w14:paraId="7BE7531B" w14:textId="2C449D28" w:rsidR="00EC46AA" w:rsidRDefault="00C6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Xylazi</w:t>
            </w:r>
            <w:r w:rsidR="008C1A8A">
              <w:t>ne</w:t>
            </w:r>
            <w:proofErr w:type="spellEnd"/>
            <w:r w:rsidR="008C1A8A">
              <w:t xml:space="preserve"> hydrochloride</w:t>
            </w:r>
          </w:p>
        </w:tc>
        <w:tc>
          <w:tcPr>
            <w:tcW w:w="2019" w:type="dxa"/>
          </w:tcPr>
          <w:p w14:paraId="5A5EBDC3" w14:textId="77777777" w:rsidR="00EC46AA" w:rsidRDefault="00CB3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as a sedative and analgesic.</w:t>
            </w:r>
          </w:p>
          <w:p w14:paraId="7FA2B708" w14:textId="77777777" w:rsidR="009A1640" w:rsidRDefault="009A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Used as a pre </w:t>
            </w:r>
            <w:proofErr w:type="spellStart"/>
            <w:r>
              <w:t>anaesthetic</w:t>
            </w:r>
            <w:proofErr w:type="spellEnd"/>
            <w:r>
              <w:t xml:space="preserve"> before local or general anesthesia is given.</w:t>
            </w:r>
          </w:p>
          <w:p w14:paraId="746C2CB7" w14:textId="59F9BAA8" w:rsidR="009A1640" w:rsidRDefault="009A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be combined with Lidocaine for a longer duration of </w:t>
            </w:r>
            <w:r w:rsidR="0045744A">
              <w:t>anesthesia</w:t>
            </w:r>
            <w:r>
              <w:t>.</w:t>
            </w:r>
          </w:p>
        </w:tc>
        <w:tc>
          <w:tcPr>
            <w:tcW w:w="5008" w:type="dxa"/>
          </w:tcPr>
          <w:p w14:paraId="51C1E549" w14:textId="2BACA907" w:rsidR="00CB3F0B" w:rsidRDefault="00C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C</w:t>
            </w:r>
            <w:r w:rsidRPr="00DD52BF">
              <w:rPr>
                <w:rFonts w:cs="Times"/>
                <w:color w:val="000000"/>
              </w:rPr>
              <w:t xml:space="preserve">ontraindicated in animals receiving epinephrine or having active ventricular arrhythmias, hypotension, </w:t>
            </w:r>
            <w:r w:rsidR="00CB3F0B">
              <w:rPr>
                <w:rFonts w:cs="Times"/>
                <w:color w:val="000000"/>
              </w:rPr>
              <w:t xml:space="preserve">urinary tract obstructions, </w:t>
            </w:r>
            <w:r w:rsidRPr="00DD52BF">
              <w:rPr>
                <w:rFonts w:cs="Times"/>
                <w:color w:val="000000"/>
              </w:rPr>
              <w:t>shock, and</w:t>
            </w:r>
            <w:r w:rsidR="00CB3F0B">
              <w:rPr>
                <w:rFonts w:cs="Times"/>
                <w:color w:val="000000"/>
              </w:rPr>
              <w:t xml:space="preserve"> </w:t>
            </w:r>
            <w:r w:rsidR="0045744A">
              <w:rPr>
                <w:rFonts w:cs="Times"/>
                <w:color w:val="000000"/>
              </w:rPr>
              <w:t xml:space="preserve">hepatic, </w:t>
            </w:r>
            <w:r w:rsidR="0045744A" w:rsidRPr="00DD52BF">
              <w:rPr>
                <w:rFonts w:cs="Times"/>
                <w:color w:val="000000"/>
              </w:rPr>
              <w:t>cardiac</w:t>
            </w:r>
            <w:r w:rsidRPr="00DD52BF">
              <w:rPr>
                <w:rFonts w:cs="Times"/>
                <w:color w:val="000000"/>
              </w:rPr>
              <w:t xml:space="preserve"> and respiratory dysfunction.</w:t>
            </w:r>
          </w:p>
          <w:p w14:paraId="59CB6D07" w14:textId="77777777" w:rsidR="00EC46AA" w:rsidRDefault="00CE6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/>
              </w:rPr>
            </w:pPr>
            <w:r w:rsidRPr="00DD52BF">
              <w:rPr>
                <w:rFonts w:cs="Times"/>
                <w:color w:val="000000"/>
              </w:rPr>
              <w:t xml:space="preserve"> It should not be given in the third trimester of pregnancy as it may induce immediate parturition.</w:t>
            </w:r>
          </w:p>
          <w:p w14:paraId="74FC56B2" w14:textId="6038373C" w:rsidR="00CB3F0B" w:rsidRDefault="00CB3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"/>
                <w:color w:val="000000"/>
              </w:rPr>
              <w:t xml:space="preserve">Adverse effects in cattle include </w:t>
            </w:r>
            <w:proofErr w:type="spellStart"/>
            <w:r>
              <w:rPr>
                <w:rFonts w:cs="Times"/>
                <w:color w:val="000000"/>
              </w:rPr>
              <w:t>hypersalivation</w:t>
            </w:r>
            <w:proofErr w:type="spellEnd"/>
            <w:r>
              <w:rPr>
                <w:rFonts w:cs="Times"/>
                <w:color w:val="000000"/>
              </w:rPr>
              <w:t xml:space="preserve">, blat, regurgitation, premature parturition and ataxia </w:t>
            </w:r>
          </w:p>
        </w:tc>
      </w:tr>
      <w:tr w:rsidR="0045744A" w14:paraId="1A3BAA48" w14:textId="77777777" w:rsidTr="00457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2CDC8B77" w14:textId="20549BE7" w:rsidR="00EC46AA" w:rsidRPr="00EC46AA" w:rsidRDefault="00EC46AA" w:rsidP="00EC46A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Lidocaine </w:t>
            </w:r>
          </w:p>
        </w:tc>
        <w:tc>
          <w:tcPr>
            <w:tcW w:w="1638" w:type="dxa"/>
          </w:tcPr>
          <w:p w14:paraId="23DF181E" w14:textId="14CC095C" w:rsidR="00EC46AA" w:rsidRDefault="000D4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E090D">
              <w:t>%</w:t>
            </w:r>
          </w:p>
        </w:tc>
        <w:tc>
          <w:tcPr>
            <w:tcW w:w="1581" w:type="dxa"/>
          </w:tcPr>
          <w:p w14:paraId="40AD001B" w14:textId="642FCE6F" w:rsidR="003E090D" w:rsidRDefault="00CE6188" w:rsidP="004E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Lidocaine hydrochloride</w:t>
            </w:r>
          </w:p>
        </w:tc>
        <w:tc>
          <w:tcPr>
            <w:tcW w:w="2019" w:type="dxa"/>
          </w:tcPr>
          <w:p w14:paraId="742C3072" w14:textId="2FB5AF44" w:rsidR="004E037C" w:rsidRDefault="004E037C" w:rsidP="0045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Local </w:t>
            </w:r>
            <w:r>
              <w:t>anestheti</w:t>
            </w:r>
            <w:r>
              <w:t>c</w:t>
            </w:r>
            <w:r w:rsidR="00CB3F0B">
              <w:t xml:space="preserve"> </w:t>
            </w:r>
            <w:proofErr w:type="spellStart"/>
            <w:r w:rsidR="00CB3F0B">
              <w:t>eg</w:t>
            </w:r>
            <w:proofErr w:type="spellEnd"/>
            <w:r w:rsidR="00CB3F0B">
              <w:t>. During epidurals, nerve blocks.</w:t>
            </w:r>
          </w:p>
          <w:p w14:paraId="5E4B8A2F" w14:textId="1E330F6C" w:rsidR="004E037C" w:rsidRDefault="0045744A" w:rsidP="0045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also be used as a </w:t>
            </w:r>
            <w:r w:rsidR="004E037C">
              <w:t>Topical anesthetic</w:t>
            </w:r>
            <w:r>
              <w:t>.</w:t>
            </w:r>
          </w:p>
          <w:p w14:paraId="47E9D10B" w14:textId="1B043EE7" w:rsidR="00EC46AA" w:rsidRDefault="004E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</w:t>
            </w:r>
            <w:r>
              <w:t>e</w:t>
            </w:r>
            <w:r>
              <w:t xml:space="preserve">d </w:t>
            </w:r>
            <w:r>
              <w:t>to treat</w:t>
            </w:r>
            <w:r>
              <w:t xml:space="preserve"> </w:t>
            </w:r>
            <w:r w:rsidR="0045744A">
              <w:t>Ventricular arrhythmia</w:t>
            </w:r>
          </w:p>
        </w:tc>
        <w:tc>
          <w:tcPr>
            <w:tcW w:w="5008" w:type="dxa"/>
          </w:tcPr>
          <w:p w14:paraId="0CB74048" w14:textId="77777777" w:rsidR="00EC46AA" w:rsidRDefault="004E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drug should not be used with epinephrine intravenously.</w:t>
            </w:r>
          </w:p>
          <w:p w14:paraId="6F0C71A3" w14:textId="5BE63A4B" w:rsidR="004E037C" w:rsidRDefault="001D6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</w:t>
            </w:r>
            <w:proofErr w:type="spellStart"/>
            <w:r>
              <w:t>sould</w:t>
            </w:r>
            <w:proofErr w:type="spellEnd"/>
            <w:r>
              <w:t xml:space="preserve"> not be used in patients with hypersensitivity to amide class local </w:t>
            </w:r>
            <w:r w:rsidR="00CE6188">
              <w:t>anesthetics</w:t>
            </w:r>
            <w:r>
              <w:t xml:space="preserve"> or with patients </w:t>
            </w:r>
            <w:r w:rsidR="00CE6188">
              <w:t>with</w:t>
            </w:r>
            <w:r>
              <w:t xml:space="preserve"> AV, SA or intraventricular heart block.</w:t>
            </w:r>
          </w:p>
          <w:p w14:paraId="7005668A" w14:textId="4744A77F" w:rsidR="001D60FF" w:rsidRDefault="00457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Caution</w:t>
            </w:r>
            <w:r w:rsidR="001D60FF">
              <w:t xml:space="preserve"> should be taken in patients with shock, respiratory depression, liver disease, congestive heart failure and hypovolemia</w:t>
            </w:r>
            <w:r w:rsidR="00CE6188">
              <w:t>.</w:t>
            </w:r>
          </w:p>
        </w:tc>
      </w:tr>
    </w:tbl>
    <w:p w14:paraId="7E00403A" w14:textId="4B70716D" w:rsidR="00B310DC" w:rsidRDefault="00B310DC"/>
    <w:sectPr w:rsidR="00B310DC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632D"/>
    <w:multiLevelType w:val="hybridMultilevel"/>
    <w:tmpl w:val="DFFA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0169D"/>
    <w:multiLevelType w:val="hybridMultilevel"/>
    <w:tmpl w:val="42121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AA"/>
    <w:rsid w:val="0000731B"/>
    <w:rsid w:val="000D43BB"/>
    <w:rsid w:val="001D60FF"/>
    <w:rsid w:val="003953DD"/>
    <w:rsid w:val="003E090D"/>
    <w:rsid w:val="003F2479"/>
    <w:rsid w:val="0045744A"/>
    <w:rsid w:val="004E037C"/>
    <w:rsid w:val="008C1A8A"/>
    <w:rsid w:val="00983034"/>
    <w:rsid w:val="009A1640"/>
    <w:rsid w:val="00B310DC"/>
    <w:rsid w:val="00C63934"/>
    <w:rsid w:val="00CB3F0B"/>
    <w:rsid w:val="00CE6188"/>
    <w:rsid w:val="00EB25A1"/>
    <w:rsid w:val="00E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7EA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EC46AA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C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3</cp:revision>
  <dcterms:created xsi:type="dcterms:W3CDTF">2018-09-22T13:35:00Z</dcterms:created>
  <dcterms:modified xsi:type="dcterms:W3CDTF">2018-09-22T16:04:00Z</dcterms:modified>
</cp:coreProperties>
</file>