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5A1C" w14:textId="0D4599DE" w:rsidR="00904CF0" w:rsidRPr="007E3F28" w:rsidRDefault="00716AC2" w:rsidP="002706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F28">
        <w:rPr>
          <w:rFonts w:ascii="Times New Roman" w:hAnsi="Times New Roman" w:cs="Times New Roman"/>
          <w:b/>
          <w:sz w:val="24"/>
          <w:szCs w:val="24"/>
          <w:u w:val="single"/>
        </w:rPr>
        <w:t xml:space="preserve">Diagnostic </w:t>
      </w:r>
      <w:r w:rsidR="007E3F28" w:rsidRPr="007E3F28">
        <w:rPr>
          <w:rFonts w:ascii="Times New Roman" w:hAnsi="Times New Roman" w:cs="Times New Roman"/>
          <w:b/>
          <w:sz w:val="24"/>
          <w:szCs w:val="24"/>
          <w:u w:val="single"/>
        </w:rPr>
        <w:t>Local Anaesthesia in Equine Lameness</w:t>
      </w:r>
    </w:p>
    <w:p w14:paraId="3462A139" w14:textId="77777777" w:rsidR="00716AC2" w:rsidRPr="00534D2D" w:rsidRDefault="00716AC2" w:rsidP="002706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49843" w14:textId="79409844" w:rsidR="00716AC2" w:rsidRPr="00534D2D" w:rsidRDefault="007E3F28" w:rsidP="002706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anaesthesia is commonly</w:t>
      </w:r>
      <w:r w:rsidR="003D1A0F" w:rsidRPr="00534D2D">
        <w:rPr>
          <w:rFonts w:ascii="Times New Roman" w:hAnsi="Times New Roman" w:cs="Times New Roman"/>
          <w:sz w:val="24"/>
          <w:szCs w:val="24"/>
        </w:rPr>
        <w:t xml:space="preserve"> used as part of a lameness exam to aid in </w:t>
      </w:r>
      <w:r w:rsidR="00716AC2" w:rsidRPr="00534D2D">
        <w:rPr>
          <w:rFonts w:ascii="Times New Roman" w:hAnsi="Times New Roman" w:cs="Times New Roman"/>
          <w:sz w:val="24"/>
          <w:szCs w:val="24"/>
        </w:rPr>
        <w:t>definitive</w:t>
      </w:r>
      <w:r w:rsidR="003D1A0F" w:rsidRPr="00534D2D">
        <w:rPr>
          <w:rFonts w:ascii="Times New Roman" w:hAnsi="Times New Roman" w:cs="Times New Roman"/>
          <w:sz w:val="24"/>
          <w:szCs w:val="24"/>
        </w:rPr>
        <w:t>ly localising</w:t>
      </w:r>
      <w:r w:rsidR="00716AC2" w:rsidRPr="00534D2D">
        <w:rPr>
          <w:rFonts w:ascii="Times New Roman" w:hAnsi="Times New Roman" w:cs="Times New Roman"/>
          <w:sz w:val="24"/>
          <w:szCs w:val="24"/>
        </w:rPr>
        <w:t xml:space="preserve"> the source of pain</w:t>
      </w:r>
      <w:r>
        <w:rPr>
          <w:rFonts w:ascii="Times New Roman" w:hAnsi="Times New Roman" w:cs="Times New Roman"/>
          <w:sz w:val="24"/>
          <w:szCs w:val="24"/>
        </w:rPr>
        <w:t xml:space="preserve"> when obvious pathology does not exist</w:t>
      </w:r>
      <w:r w:rsidR="00716AC2" w:rsidRPr="00534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must be done in a systematic </w:t>
      </w:r>
      <w:r w:rsidR="00B223A3">
        <w:rPr>
          <w:rFonts w:ascii="Times New Roman" w:hAnsi="Times New Roman" w:cs="Times New Roman"/>
          <w:sz w:val="24"/>
          <w:szCs w:val="24"/>
        </w:rPr>
        <w:t>manner (distal to proximal limb).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anaesthetic agent</w:t>
      </w:r>
      <w:r w:rsidR="00B223A3">
        <w:rPr>
          <w:rFonts w:ascii="Times New Roman" w:hAnsi="Times New Roman" w:cs="Times New Roman"/>
          <w:sz w:val="24"/>
          <w:szCs w:val="24"/>
        </w:rPr>
        <w:t xml:space="preserve"> is deposited by perineural infiltration</w:t>
      </w:r>
      <w:r>
        <w:rPr>
          <w:rFonts w:ascii="Times New Roman" w:hAnsi="Times New Roman" w:cs="Times New Roman"/>
          <w:sz w:val="24"/>
          <w:szCs w:val="24"/>
        </w:rPr>
        <w:t xml:space="preserve"> (nerve block), intra</w:t>
      </w:r>
      <w:r w:rsidR="00B223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synovial injection (joint capsules, bursa, and sheaths), field block (ring block) or directly in a sensitive region.</w:t>
      </w:r>
    </w:p>
    <w:p w14:paraId="1426C725" w14:textId="5F7E3F70" w:rsidR="00015012" w:rsidRPr="00534D2D" w:rsidRDefault="00904CF0" w:rsidP="002706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Important point</w:t>
      </w:r>
      <w:r w:rsidR="00AE7868" w:rsidRPr="00534D2D">
        <w:rPr>
          <w:rFonts w:ascii="Times New Roman" w:hAnsi="Times New Roman" w:cs="Times New Roman"/>
          <w:sz w:val="24"/>
          <w:szCs w:val="24"/>
        </w:rPr>
        <w:t>s</w:t>
      </w:r>
      <w:r w:rsidRPr="00534D2D">
        <w:rPr>
          <w:rFonts w:ascii="Times New Roman" w:hAnsi="Times New Roman" w:cs="Times New Roman"/>
          <w:sz w:val="24"/>
          <w:szCs w:val="24"/>
        </w:rPr>
        <w:t xml:space="preserve"> to note: </w:t>
      </w:r>
    </w:p>
    <w:p w14:paraId="6BC5F651" w14:textId="7F5E598A" w:rsidR="00B223A3" w:rsidRDefault="00534D2D" w:rsidP="00534D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 xml:space="preserve">General: </w:t>
      </w:r>
      <w:r w:rsidR="00B223A3">
        <w:rPr>
          <w:rFonts w:ascii="Times New Roman" w:hAnsi="Times New Roman" w:cs="Times New Roman"/>
          <w:sz w:val="24"/>
          <w:szCs w:val="24"/>
        </w:rPr>
        <w:t xml:space="preserve">Do not use local anaesthetic with epinephrine because it has the potential to cause skin necrosis at the injection site (vasoconstriction). </w:t>
      </w:r>
    </w:p>
    <w:p w14:paraId="47E05269" w14:textId="587DF637" w:rsidR="00534D2D" w:rsidRDefault="00447524" w:rsidP="00B223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 intra-vascular injection</w:t>
      </w:r>
      <w:r w:rsidR="00534D2D">
        <w:rPr>
          <w:rFonts w:ascii="Times New Roman" w:hAnsi="Times New Roman" w:cs="Times New Roman"/>
          <w:sz w:val="24"/>
          <w:szCs w:val="24"/>
        </w:rPr>
        <w:t xml:space="preserve"> of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 </w:t>
      </w:r>
      <w:r w:rsidR="00534D2D">
        <w:rPr>
          <w:rFonts w:ascii="Times New Roman" w:hAnsi="Times New Roman" w:cs="Times New Roman"/>
          <w:sz w:val="24"/>
          <w:szCs w:val="24"/>
        </w:rPr>
        <w:t>local anaesthetics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 </w:t>
      </w:r>
      <w:r w:rsidR="00534D2D">
        <w:rPr>
          <w:rFonts w:ascii="Times New Roman" w:hAnsi="Times New Roman" w:cs="Times New Roman"/>
          <w:sz w:val="24"/>
          <w:szCs w:val="24"/>
        </w:rPr>
        <w:t>by aspirating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 prior to and during administration</w:t>
      </w:r>
      <w:r w:rsidR="00534D2D">
        <w:rPr>
          <w:rFonts w:ascii="Times New Roman" w:hAnsi="Times New Roman" w:cs="Times New Roman"/>
          <w:sz w:val="24"/>
          <w:szCs w:val="24"/>
        </w:rPr>
        <w:t xml:space="preserve"> of the drug</w:t>
      </w:r>
      <w:r w:rsidR="00534D2D" w:rsidRPr="00534D2D">
        <w:rPr>
          <w:rFonts w:ascii="Times New Roman" w:hAnsi="Times New Roman" w:cs="Times New Roman"/>
          <w:sz w:val="24"/>
          <w:szCs w:val="24"/>
        </w:rPr>
        <w:t>.</w:t>
      </w:r>
    </w:p>
    <w:p w14:paraId="30044ADE" w14:textId="4981F5A8" w:rsidR="00B223A3" w:rsidRPr="00534D2D" w:rsidRDefault="00B223A3" w:rsidP="00B223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Always use sterile solutions, equipment and techniques.</w:t>
      </w:r>
    </w:p>
    <w:p w14:paraId="29FEEB22" w14:textId="5F5B4533" w:rsidR="002706E5" w:rsidRPr="000976D5" w:rsidRDefault="00015012" w:rsidP="000976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 xml:space="preserve">Needle size and gauge: </w:t>
      </w:r>
      <w:r w:rsidR="00716AC2" w:rsidRPr="00534D2D">
        <w:rPr>
          <w:rFonts w:ascii="Times New Roman" w:hAnsi="Times New Roman" w:cs="Times New Roman"/>
          <w:sz w:val="24"/>
          <w:szCs w:val="24"/>
        </w:rPr>
        <w:t xml:space="preserve">When </w:t>
      </w:r>
      <w:r w:rsidR="002706E5" w:rsidRPr="00534D2D">
        <w:rPr>
          <w:rFonts w:ascii="Times New Roman" w:hAnsi="Times New Roman" w:cs="Times New Roman"/>
          <w:sz w:val="24"/>
          <w:szCs w:val="24"/>
        </w:rPr>
        <w:t>anesthetizing nerves</w:t>
      </w:r>
      <w:r w:rsidR="00904CF0" w:rsidRPr="00534D2D">
        <w:rPr>
          <w:rFonts w:ascii="Times New Roman" w:hAnsi="Times New Roman" w:cs="Times New Roman"/>
          <w:sz w:val="24"/>
          <w:szCs w:val="24"/>
        </w:rPr>
        <w:t xml:space="preserve"> below the ca</w:t>
      </w:r>
      <w:r w:rsidR="00716AC2" w:rsidRPr="00534D2D">
        <w:rPr>
          <w:rFonts w:ascii="Times New Roman" w:hAnsi="Times New Roman" w:cs="Times New Roman"/>
          <w:sz w:val="24"/>
          <w:szCs w:val="24"/>
        </w:rPr>
        <w:t>rpus or hock use a</w:t>
      </w:r>
      <w:r w:rsidR="00904CF0" w:rsidRPr="00534D2D">
        <w:rPr>
          <w:rFonts w:ascii="Times New Roman" w:hAnsi="Times New Roman" w:cs="Times New Roman"/>
          <w:sz w:val="24"/>
          <w:szCs w:val="24"/>
        </w:rPr>
        <w:t xml:space="preserve"> 25-gauge, 5/8-in. (1.59-cm) needle. </w:t>
      </w:r>
      <w:r w:rsidR="000976D5" w:rsidRPr="000976D5">
        <w:rPr>
          <w:rFonts w:ascii="Times New Roman" w:hAnsi="Times New Roman" w:cs="Times New Roman"/>
          <w:sz w:val="24"/>
          <w:szCs w:val="24"/>
        </w:rPr>
        <w:t>F</w:t>
      </w:r>
      <w:r w:rsidR="002706E5" w:rsidRPr="000976D5">
        <w:rPr>
          <w:rFonts w:ascii="Times New Roman" w:hAnsi="Times New Roman" w:cs="Times New Roman"/>
          <w:sz w:val="24"/>
          <w:szCs w:val="24"/>
        </w:rPr>
        <w:t>or nerves more proximally on the limb use a</w:t>
      </w:r>
      <w:r w:rsidR="00904CF0" w:rsidRPr="000976D5">
        <w:rPr>
          <w:rFonts w:ascii="Times New Roman" w:hAnsi="Times New Roman" w:cs="Times New Roman"/>
          <w:sz w:val="24"/>
          <w:szCs w:val="24"/>
        </w:rPr>
        <w:t xml:space="preserve"> </w:t>
      </w:r>
      <w:r w:rsidR="002706E5" w:rsidRPr="000976D5">
        <w:rPr>
          <w:rFonts w:ascii="Times New Roman" w:hAnsi="Times New Roman" w:cs="Times New Roman"/>
          <w:sz w:val="24"/>
          <w:szCs w:val="24"/>
        </w:rPr>
        <w:t>22- or 20-gauge 1½-in. (3.8-cm) needle.</w:t>
      </w:r>
    </w:p>
    <w:p w14:paraId="12450F57" w14:textId="0DE22AF9" w:rsidR="00015012" w:rsidRPr="00534D2D" w:rsidRDefault="00015012" w:rsidP="00607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Positioning of the needle: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</w:t>
      </w:r>
      <w:r w:rsidR="003D1A0F" w:rsidRPr="00534D2D">
        <w:rPr>
          <w:rFonts w:ascii="Times New Roman" w:hAnsi="Times New Roman" w:cs="Times New Roman"/>
          <w:sz w:val="24"/>
          <w:szCs w:val="24"/>
        </w:rPr>
        <w:t>Always insert the needle detached from the syringe.</w:t>
      </w:r>
      <w:r w:rsidR="009F2413" w:rsidRPr="00534D2D">
        <w:rPr>
          <w:rFonts w:ascii="Times New Roman" w:hAnsi="Times New Roman" w:cs="Times New Roman"/>
          <w:sz w:val="24"/>
          <w:szCs w:val="24"/>
        </w:rPr>
        <w:t xml:space="preserve"> For situations where the horse may move it is safer to use a spinal needle as it is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flexible and more likel</w:t>
      </w:r>
      <w:r w:rsidR="009F2413" w:rsidRPr="00534D2D">
        <w:rPr>
          <w:rFonts w:ascii="Times New Roman" w:hAnsi="Times New Roman" w:cs="Times New Roman"/>
          <w:sz w:val="24"/>
          <w:szCs w:val="24"/>
        </w:rPr>
        <w:t>y to bend than break. Direct the needle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distally during insertion when anesthetizing nerves in </w:t>
      </w:r>
      <w:r w:rsidR="009F2413" w:rsidRPr="00534D2D">
        <w:rPr>
          <w:rFonts w:ascii="Times New Roman" w:hAnsi="Times New Roman" w:cs="Times New Roman"/>
          <w:sz w:val="24"/>
          <w:szCs w:val="24"/>
        </w:rPr>
        <w:t xml:space="preserve">the distal portion of the limb to prevent </w:t>
      </w:r>
      <w:r w:rsidR="00D94BB7" w:rsidRPr="00534D2D">
        <w:rPr>
          <w:rFonts w:ascii="Times New Roman" w:hAnsi="Times New Roman" w:cs="Times New Roman"/>
          <w:sz w:val="24"/>
          <w:szCs w:val="24"/>
        </w:rPr>
        <w:t>proximal migration of an</w:t>
      </w:r>
      <w:r w:rsidR="009F2413" w:rsidRPr="00534D2D">
        <w:rPr>
          <w:rFonts w:ascii="Times New Roman" w:hAnsi="Times New Roman" w:cs="Times New Roman"/>
          <w:sz w:val="24"/>
          <w:szCs w:val="24"/>
        </w:rPr>
        <w:t xml:space="preserve">aesthetic agent which will lead to inaccurate results. </w:t>
      </w:r>
    </w:p>
    <w:p w14:paraId="7E6A327A" w14:textId="1EFC5C1F" w:rsidR="00015012" w:rsidRPr="00534D2D" w:rsidRDefault="00015012" w:rsidP="002706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Syringe: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</w:t>
      </w:r>
      <w:r w:rsidR="009F2413" w:rsidRPr="00534D2D">
        <w:rPr>
          <w:rFonts w:ascii="Times New Roman" w:hAnsi="Times New Roman" w:cs="Times New Roman"/>
          <w:sz w:val="24"/>
          <w:szCs w:val="24"/>
        </w:rPr>
        <w:t xml:space="preserve">Do not use 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Luer-lock syringes </w:t>
      </w:r>
      <w:r w:rsidR="009F2413" w:rsidRPr="00534D2D">
        <w:rPr>
          <w:rFonts w:ascii="Times New Roman" w:hAnsi="Times New Roman" w:cs="Times New Roman"/>
          <w:sz w:val="24"/>
          <w:szCs w:val="24"/>
        </w:rPr>
        <w:t>as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they are difficult to attach </w:t>
      </w:r>
      <w:r w:rsidR="009F2413" w:rsidRPr="00534D2D">
        <w:rPr>
          <w:rFonts w:ascii="Times New Roman" w:hAnsi="Times New Roman" w:cs="Times New Roman"/>
          <w:sz w:val="24"/>
          <w:szCs w:val="24"/>
        </w:rPr>
        <w:t xml:space="preserve">and detach quickly 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to </w:t>
      </w:r>
      <w:r w:rsidR="009F2413" w:rsidRPr="00534D2D">
        <w:rPr>
          <w:rFonts w:ascii="Times New Roman" w:hAnsi="Times New Roman" w:cs="Times New Roman"/>
          <w:sz w:val="24"/>
          <w:szCs w:val="24"/>
        </w:rPr>
        <w:t>the needle after it is inserted</w:t>
      </w:r>
      <w:r w:rsidR="00534D2D" w:rsidRPr="00534D2D">
        <w:rPr>
          <w:rFonts w:ascii="Times New Roman" w:hAnsi="Times New Roman" w:cs="Times New Roman"/>
          <w:sz w:val="24"/>
          <w:szCs w:val="24"/>
        </w:rPr>
        <w:t>. T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he needle </w:t>
      </w:r>
      <w:r w:rsidR="00534D2D" w:rsidRPr="00534D2D">
        <w:rPr>
          <w:rFonts w:ascii="Times New Roman" w:hAnsi="Times New Roman" w:cs="Times New Roman"/>
          <w:sz w:val="24"/>
          <w:szCs w:val="24"/>
        </w:rPr>
        <w:t>can be bent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 or broken if the horse moves during the procedure.</w:t>
      </w:r>
    </w:p>
    <w:p w14:paraId="43A87C96" w14:textId="7FDF4F7E" w:rsidR="00534D2D" w:rsidRDefault="00730B42" w:rsidP="00534D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 xml:space="preserve">Volume of anaesthetic: </w:t>
      </w:r>
      <w:r w:rsidR="00534D2D" w:rsidRPr="00534D2D">
        <w:rPr>
          <w:rFonts w:ascii="Times New Roman" w:hAnsi="Times New Roman" w:cs="Times New Roman"/>
          <w:sz w:val="24"/>
          <w:szCs w:val="24"/>
        </w:rPr>
        <w:t>O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nly 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use </w:t>
      </w:r>
      <w:r w:rsidR="00D94BB7" w:rsidRPr="00534D2D">
        <w:rPr>
          <w:rFonts w:ascii="Times New Roman" w:hAnsi="Times New Roman" w:cs="Times New Roman"/>
          <w:sz w:val="24"/>
          <w:szCs w:val="24"/>
        </w:rPr>
        <w:t>the smallest effective volume of an</w:t>
      </w:r>
      <w:r w:rsidR="00534D2D" w:rsidRPr="00534D2D">
        <w:rPr>
          <w:rFonts w:ascii="Times New Roman" w:hAnsi="Times New Roman" w:cs="Times New Roman"/>
          <w:sz w:val="24"/>
          <w:szCs w:val="24"/>
        </w:rPr>
        <w:t xml:space="preserve">aesthetic agent below the carpus or hock </w:t>
      </w:r>
      <w:r w:rsidR="00D94BB7" w:rsidRPr="00534D2D">
        <w:rPr>
          <w:rFonts w:ascii="Times New Roman" w:hAnsi="Times New Roman" w:cs="Times New Roman"/>
          <w:sz w:val="24"/>
          <w:szCs w:val="24"/>
        </w:rPr>
        <w:t>to avoid inadvertent an</w:t>
      </w:r>
      <w:r w:rsidR="00534D2D" w:rsidRPr="00534D2D">
        <w:rPr>
          <w:rFonts w:ascii="Times New Roman" w:hAnsi="Times New Roman" w:cs="Times New Roman"/>
          <w:sz w:val="24"/>
          <w:szCs w:val="24"/>
        </w:rPr>
        <w:t>a</w:t>
      </w:r>
      <w:r w:rsidR="00D94BB7" w:rsidRPr="00534D2D">
        <w:rPr>
          <w:rFonts w:ascii="Times New Roman" w:hAnsi="Times New Roman" w:cs="Times New Roman"/>
          <w:sz w:val="24"/>
          <w:szCs w:val="24"/>
        </w:rPr>
        <w:t xml:space="preserve">esthesia of adjacent nerves. </w:t>
      </w:r>
    </w:p>
    <w:p w14:paraId="34F99474" w14:textId="77777777" w:rsidR="00534D2D" w:rsidRPr="00534D2D" w:rsidRDefault="00534D2D" w:rsidP="00534D2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8405A" w14:textId="77777777" w:rsidR="00EB3B45" w:rsidRDefault="00EB3B45" w:rsidP="00534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E950E" w14:textId="77777777" w:rsidR="00EB3B45" w:rsidRDefault="00EB3B45" w:rsidP="00534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A1D23" w14:textId="01C693D9" w:rsidR="00534D2D" w:rsidRDefault="00534D2D" w:rsidP="00534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1.0: Common drugs used for reginal blocks when investigating a lame horse.</w:t>
      </w:r>
    </w:p>
    <w:tbl>
      <w:tblPr>
        <w:tblStyle w:val="GridTable1Light-Accent1"/>
        <w:tblpPr w:leftFromText="180" w:rightFromText="180" w:vertAnchor="page" w:horzAnchor="margin" w:tblpY="841"/>
        <w:tblW w:w="5000" w:type="pct"/>
        <w:tblLook w:val="04A0" w:firstRow="1" w:lastRow="0" w:firstColumn="1" w:lastColumn="0" w:noHBand="0" w:noVBand="1"/>
      </w:tblPr>
      <w:tblGrid>
        <w:gridCol w:w="1707"/>
        <w:gridCol w:w="1463"/>
        <w:gridCol w:w="930"/>
        <w:gridCol w:w="1010"/>
        <w:gridCol w:w="1792"/>
        <w:gridCol w:w="2114"/>
      </w:tblGrid>
      <w:tr w:rsidR="00534D2D" w:rsidRPr="00534D2D" w14:paraId="122F4CFA" w14:textId="77777777" w:rsidTr="00097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8EAADB" w:themeFill="accent1" w:themeFillTint="99"/>
            <w:vAlign w:val="center"/>
          </w:tcPr>
          <w:p w14:paraId="1D4CDC29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Drugs</w:t>
            </w:r>
          </w:p>
        </w:tc>
        <w:tc>
          <w:tcPr>
            <w:tcW w:w="946" w:type="pct"/>
            <w:shd w:val="clear" w:color="auto" w:fill="8EAADB" w:themeFill="accent1" w:themeFillTint="99"/>
            <w:vAlign w:val="center"/>
          </w:tcPr>
          <w:p w14:paraId="28A6D861" w14:textId="77777777" w:rsidR="00534D2D" w:rsidRPr="00534D2D" w:rsidRDefault="00534D2D" w:rsidP="000979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615" w:type="pct"/>
            <w:shd w:val="clear" w:color="auto" w:fill="8EAADB" w:themeFill="accent1" w:themeFillTint="99"/>
            <w:vAlign w:val="center"/>
          </w:tcPr>
          <w:p w14:paraId="23C7BFA8" w14:textId="77777777" w:rsidR="00534D2D" w:rsidRPr="00534D2D" w:rsidRDefault="00534D2D" w:rsidP="000979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Onset of action</w:t>
            </w:r>
          </w:p>
        </w:tc>
        <w:tc>
          <w:tcPr>
            <w:tcW w:w="688" w:type="pct"/>
            <w:shd w:val="clear" w:color="auto" w:fill="8EAADB" w:themeFill="accent1" w:themeFillTint="99"/>
            <w:vAlign w:val="center"/>
          </w:tcPr>
          <w:p w14:paraId="41104F45" w14:textId="77777777" w:rsidR="00534D2D" w:rsidRPr="00534D2D" w:rsidRDefault="00534D2D" w:rsidP="000979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Duration of action</w:t>
            </w:r>
          </w:p>
        </w:tc>
        <w:tc>
          <w:tcPr>
            <w:tcW w:w="967" w:type="pct"/>
            <w:shd w:val="clear" w:color="auto" w:fill="8EAADB" w:themeFill="accent1" w:themeFillTint="99"/>
            <w:vAlign w:val="center"/>
          </w:tcPr>
          <w:p w14:paraId="29BDEF99" w14:textId="77777777" w:rsidR="00534D2D" w:rsidRPr="00534D2D" w:rsidRDefault="00534D2D" w:rsidP="000979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Contraindications</w:t>
            </w:r>
          </w:p>
        </w:tc>
        <w:tc>
          <w:tcPr>
            <w:tcW w:w="1023" w:type="pct"/>
            <w:shd w:val="clear" w:color="auto" w:fill="8EAADB" w:themeFill="accent1" w:themeFillTint="99"/>
            <w:vAlign w:val="center"/>
          </w:tcPr>
          <w:p w14:paraId="769D78C6" w14:textId="77777777" w:rsidR="00534D2D" w:rsidRPr="00534D2D" w:rsidRDefault="00534D2D" w:rsidP="000979D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534D2D" w:rsidRPr="00534D2D" w14:paraId="6A2D2A27" w14:textId="77777777" w:rsidTr="0009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8EAADB" w:themeFill="accent1" w:themeFillTint="99"/>
            <w:vAlign w:val="center"/>
          </w:tcPr>
          <w:p w14:paraId="3BA8CED7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Lidocaine hydrochloride 2% (20mg/ml)</w:t>
            </w:r>
          </w:p>
        </w:tc>
        <w:tc>
          <w:tcPr>
            <w:tcW w:w="946" w:type="pct"/>
            <w:vAlign w:val="center"/>
          </w:tcPr>
          <w:p w14:paraId="5613D489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0.2-0.3 mg/kg</w:t>
            </w:r>
          </w:p>
          <w:p w14:paraId="51CD8215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(approximately 5-8 ml of 2% solution in an average horse)</w:t>
            </w:r>
          </w:p>
          <w:p w14:paraId="54043233" w14:textId="77777777" w:rsidR="00534D2D" w:rsidRPr="00534D2D" w:rsidRDefault="00534D2D" w:rsidP="000979DA">
            <w:pPr>
              <w:spacing w:beforeAutospacing="1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eastAsia="Times New Roman" w:hAnsi="Times New Roman" w:cs="Times New Roman"/>
                <w:sz w:val="24"/>
                <w:szCs w:val="24"/>
              </w:rPr>
              <w:t>Toxic dose 8mg/kg</w:t>
            </w:r>
          </w:p>
          <w:p w14:paraId="4006AECF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5B6D24B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5-10 minutes</w:t>
            </w:r>
          </w:p>
          <w:p w14:paraId="0525B748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(Max effect at 15 minutes)</w:t>
            </w:r>
          </w:p>
        </w:tc>
        <w:tc>
          <w:tcPr>
            <w:tcW w:w="688" w:type="pct"/>
            <w:vAlign w:val="center"/>
          </w:tcPr>
          <w:p w14:paraId="12F4E6E1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45-60 minutes</w:t>
            </w:r>
          </w:p>
        </w:tc>
        <w:tc>
          <w:tcPr>
            <w:tcW w:w="967" w:type="pct"/>
            <w:vAlign w:val="center"/>
          </w:tcPr>
          <w:p w14:paraId="5849EF2C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Local tissue irritation and swelling. Cardiotoxic. Use with caution in animals with liver disease, congestive heart failure, shock, hypovolemia, severe respiratory depression or marked hypoxia.</w:t>
            </w:r>
          </w:p>
        </w:tc>
        <w:tc>
          <w:tcPr>
            <w:tcW w:w="1023" w:type="pct"/>
            <w:vAlign w:val="center"/>
          </w:tcPr>
          <w:p w14:paraId="276955FC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Toxic effects include loss of consciousness, hypotension, respiratory collapse, excitability, muscles spasm and</w:t>
            </w:r>
          </w:p>
          <w:p w14:paraId="0F1466B6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convulsions.</w:t>
            </w:r>
          </w:p>
          <w:p w14:paraId="1CB5168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2D" w:rsidRPr="00534D2D" w14:paraId="57431894" w14:textId="77777777" w:rsidTr="0009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8EAADB" w:themeFill="accent1" w:themeFillTint="99"/>
            <w:vAlign w:val="center"/>
          </w:tcPr>
          <w:p w14:paraId="61B70B75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Mepivacaine HCl 2 % (20mg/ml)</w:t>
            </w:r>
          </w:p>
          <w:p w14:paraId="463F79EB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14:paraId="0C35143A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Approximately 3-15 ml of 20 mg/ml in an average horse.</w:t>
            </w:r>
          </w:p>
          <w:p w14:paraId="6B559F1A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A4D3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Toxic dose: &gt;400mg/kg within 24 hours</w:t>
            </w:r>
          </w:p>
        </w:tc>
        <w:tc>
          <w:tcPr>
            <w:tcW w:w="615" w:type="pct"/>
            <w:vAlign w:val="center"/>
          </w:tcPr>
          <w:p w14:paraId="0F512093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5-10 minutes (Max effect at 12-20 minutes)</w:t>
            </w:r>
          </w:p>
        </w:tc>
        <w:tc>
          <w:tcPr>
            <w:tcW w:w="688" w:type="pct"/>
            <w:vAlign w:val="center"/>
          </w:tcPr>
          <w:p w14:paraId="365B6CC9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120-180 minutes</w:t>
            </w:r>
          </w:p>
        </w:tc>
        <w:tc>
          <w:tcPr>
            <w:tcW w:w="967" w:type="pct"/>
            <w:vAlign w:val="center"/>
          </w:tcPr>
          <w:p w14:paraId="6C693C80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Prohibited for use in horses intended for human consumption.</w:t>
            </w:r>
          </w:p>
          <w:p w14:paraId="1C42E068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4CA7AA75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Causes less tissue irritation and longer duration of action than Lidocaine HCl.   Toxicity characterised by CNS effects.</w:t>
            </w:r>
          </w:p>
        </w:tc>
      </w:tr>
      <w:tr w:rsidR="00534D2D" w:rsidRPr="00534D2D" w14:paraId="5474E4B5" w14:textId="77777777" w:rsidTr="0009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8EAADB" w:themeFill="accent1" w:themeFillTint="99"/>
            <w:vAlign w:val="center"/>
          </w:tcPr>
          <w:p w14:paraId="4412C9F2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Bupivacaine HCl 0.5% (5mg/ml)</w:t>
            </w:r>
          </w:p>
        </w:tc>
        <w:tc>
          <w:tcPr>
            <w:tcW w:w="946" w:type="pct"/>
            <w:vAlign w:val="center"/>
          </w:tcPr>
          <w:p w14:paraId="1FDA1D23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0.05–0.08 mg/kg (approximat</w:t>
            </w: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ely 5–8 ml of 0.5% solution in an average adult horse</w:t>
            </w:r>
          </w:p>
          <w:p w14:paraId="0D9C817D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Toxic dose 4 mg/kg</w:t>
            </w:r>
          </w:p>
        </w:tc>
        <w:tc>
          <w:tcPr>
            <w:tcW w:w="615" w:type="pct"/>
            <w:vAlign w:val="center"/>
          </w:tcPr>
          <w:p w14:paraId="48204D9C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 minutes</w:t>
            </w:r>
          </w:p>
          <w:p w14:paraId="1A4E322A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(Max effect at 15 minutes)</w:t>
            </w:r>
          </w:p>
        </w:tc>
        <w:tc>
          <w:tcPr>
            <w:tcW w:w="688" w:type="pct"/>
            <w:vAlign w:val="center"/>
          </w:tcPr>
          <w:p w14:paraId="44E73C97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 hours</w:t>
            </w:r>
          </w:p>
        </w:tc>
        <w:tc>
          <w:tcPr>
            <w:tcW w:w="967" w:type="pct"/>
            <w:vAlign w:val="center"/>
          </w:tcPr>
          <w:p w14:paraId="760C43B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 xml:space="preserve">Toxicity:  More cardiotoxic than lidocaine. </w:t>
            </w: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Ventricular dysrhythmias. Decrease myocardial contractility.</w:t>
            </w:r>
          </w:p>
        </w:tc>
        <w:tc>
          <w:tcPr>
            <w:tcW w:w="1023" w:type="pct"/>
            <w:vAlign w:val="center"/>
          </w:tcPr>
          <w:p w14:paraId="4F8DF18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Longer duration of action </w:t>
            </w: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than Mepivacaine HCl.</w:t>
            </w:r>
          </w:p>
          <w:p w14:paraId="1376ED28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Less suitable for diagnostic nerve blocks because of long duration of action.</w:t>
            </w:r>
          </w:p>
        </w:tc>
      </w:tr>
      <w:tr w:rsidR="00534D2D" w:rsidRPr="00534D2D" w14:paraId="5A39B5C3" w14:textId="77777777" w:rsidTr="0009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8EAADB" w:themeFill="accent1" w:themeFillTint="99"/>
            <w:vAlign w:val="center"/>
          </w:tcPr>
          <w:p w14:paraId="2376D10B" w14:textId="77777777" w:rsidR="00534D2D" w:rsidRPr="00534D2D" w:rsidRDefault="00534D2D" w:rsidP="00097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Prilocaine</w:t>
            </w:r>
          </w:p>
        </w:tc>
        <w:tc>
          <w:tcPr>
            <w:tcW w:w="946" w:type="pct"/>
            <w:vAlign w:val="center"/>
          </w:tcPr>
          <w:p w14:paraId="203E4BF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0.60 to 0.84 mg/kg</w:t>
            </w:r>
          </w:p>
        </w:tc>
        <w:tc>
          <w:tcPr>
            <w:tcW w:w="615" w:type="pct"/>
            <w:vAlign w:val="center"/>
          </w:tcPr>
          <w:p w14:paraId="10F43831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41C68E6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50F102C4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4903F06B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Slower onset of action. Spreads less well compared to lidocaine.</w:t>
            </w:r>
          </w:p>
          <w:p w14:paraId="372B2332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Causes dose-dependent methemoglobinemia which limits its clinical usefulness.</w:t>
            </w:r>
          </w:p>
          <w:p w14:paraId="0CF20557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Causes less swelling. Great accuracy when doing specific nerve blocks.</w:t>
            </w:r>
          </w:p>
          <w:p w14:paraId="3BC39BB8" w14:textId="77777777" w:rsidR="00534D2D" w:rsidRPr="00534D2D" w:rsidRDefault="00534D2D" w:rsidP="000979D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D2D">
              <w:rPr>
                <w:rFonts w:ascii="Times New Roman" w:hAnsi="Times New Roman" w:cs="Times New Roman"/>
                <w:sz w:val="24"/>
                <w:szCs w:val="24"/>
              </w:rPr>
              <w:t>Low cardiac toxicity.</w:t>
            </w:r>
          </w:p>
        </w:tc>
      </w:tr>
    </w:tbl>
    <w:p w14:paraId="3B6F54DB" w14:textId="05546540" w:rsidR="00730B42" w:rsidRPr="00534D2D" w:rsidRDefault="00D94BB7" w:rsidP="00270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References</w:t>
      </w:r>
    </w:p>
    <w:p w14:paraId="144CE41F" w14:textId="77777777" w:rsidR="008D63A2" w:rsidRPr="00534D2D" w:rsidRDefault="008D63A2" w:rsidP="00270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Agrifutures.com.au. (2018). [online] Available at: https://www.agrifutures.com.au/wp-content/uploads/publications/13-048.pdf [Accessed 15 Sep. 2018].</w:t>
      </w:r>
    </w:p>
    <w:p w14:paraId="475AD86C" w14:textId="42BF6BD2" w:rsidR="008D63A2" w:rsidRDefault="008D63A2" w:rsidP="00270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D2D">
        <w:rPr>
          <w:rFonts w:ascii="Times New Roman" w:hAnsi="Times New Roman" w:cs="Times New Roman"/>
          <w:sz w:val="24"/>
          <w:szCs w:val="24"/>
        </w:rPr>
        <w:t>Schumacher, J. (2018). Regional Anesthesia in Equine Lameness - Musculoskeletal System - Veterinary Manual. [online] Veterinary Manual. Available at: https://www.msdvetmanual.com/musculoskeletal-system/lameness-in-horses/regional-anesthesia-in-equine-lameness#v3284276 [Accessed 15 Sep. 2018].</w:t>
      </w:r>
    </w:p>
    <w:p w14:paraId="7DFD345B" w14:textId="6A15862D" w:rsidR="00D94BB7" w:rsidRPr="00534D2D" w:rsidRDefault="00EB3B45" w:rsidP="002706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B45">
        <w:rPr>
          <w:rFonts w:ascii="Times New Roman" w:hAnsi="Times New Roman" w:cs="Times New Roman"/>
          <w:sz w:val="24"/>
          <w:szCs w:val="24"/>
        </w:rPr>
        <w:t>Stashak T, Adams O. Adams' lameness in horses. 5th ed. Philadelphia, Pa.: Lippincott Williams &amp; Wilkins; 2002.</w:t>
      </w:r>
      <w:bookmarkStart w:id="0" w:name="_GoBack"/>
      <w:bookmarkEnd w:id="0"/>
      <w:r w:rsidRPr="00534D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4BB7" w:rsidRPr="00534D2D" w:rsidSect="00097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D91B" w14:textId="77777777" w:rsidR="00904CF0" w:rsidRDefault="00904CF0" w:rsidP="00904CF0">
      <w:pPr>
        <w:spacing w:after="0" w:line="240" w:lineRule="auto"/>
      </w:pPr>
      <w:r>
        <w:separator/>
      </w:r>
    </w:p>
  </w:endnote>
  <w:endnote w:type="continuationSeparator" w:id="0">
    <w:p w14:paraId="24171981" w14:textId="77777777" w:rsidR="00904CF0" w:rsidRDefault="00904CF0" w:rsidP="0090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1F17" w14:textId="77777777" w:rsidR="00904CF0" w:rsidRDefault="00904CF0" w:rsidP="00904CF0">
      <w:pPr>
        <w:spacing w:after="0" w:line="240" w:lineRule="auto"/>
      </w:pPr>
      <w:r>
        <w:separator/>
      </w:r>
    </w:p>
  </w:footnote>
  <w:footnote w:type="continuationSeparator" w:id="0">
    <w:p w14:paraId="3E82D4E3" w14:textId="77777777" w:rsidR="00904CF0" w:rsidRDefault="00904CF0" w:rsidP="0090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FF"/>
    <w:multiLevelType w:val="hybridMultilevel"/>
    <w:tmpl w:val="24564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0"/>
    <w:rsid w:val="00004930"/>
    <w:rsid w:val="00015012"/>
    <w:rsid w:val="000368C4"/>
    <w:rsid w:val="00055B1C"/>
    <w:rsid w:val="000976D5"/>
    <w:rsid w:val="001658F6"/>
    <w:rsid w:val="002706E5"/>
    <w:rsid w:val="003D1A0F"/>
    <w:rsid w:val="00447524"/>
    <w:rsid w:val="00534D2D"/>
    <w:rsid w:val="00673D0E"/>
    <w:rsid w:val="00716AC2"/>
    <w:rsid w:val="00730B42"/>
    <w:rsid w:val="0076288B"/>
    <w:rsid w:val="007E3F28"/>
    <w:rsid w:val="008D63A2"/>
    <w:rsid w:val="00904CF0"/>
    <w:rsid w:val="009F2413"/>
    <w:rsid w:val="00AE7868"/>
    <w:rsid w:val="00B151A8"/>
    <w:rsid w:val="00B223A3"/>
    <w:rsid w:val="00B51B3F"/>
    <w:rsid w:val="00D94BB7"/>
    <w:rsid w:val="00E50300"/>
    <w:rsid w:val="00EB3B45"/>
    <w:rsid w:val="00F751D2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D41C"/>
  <w15:chartTrackingRefBased/>
  <w15:docId w15:val="{2A32246F-26A1-459F-B9C7-F7DD99AC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04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04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904C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0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F0"/>
  </w:style>
  <w:style w:type="paragraph" w:styleId="Footer">
    <w:name w:val="footer"/>
    <w:basedOn w:val="Normal"/>
    <w:link w:val="FooterChar"/>
    <w:uiPriority w:val="99"/>
    <w:unhideWhenUsed/>
    <w:rsid w:val="00904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F0"/>
  </w:style>
  <w:style w:type="character" w:styleId="Hyperlink">
    <w:name w:val="Hyperlink"/>
    <w:basedOn w:val="DefaultParagraphFont"/>
    <w:uiPriority w:val="99"/>
    <w:unhideWhenUsed/>
    <w:rsid w:val="00904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CF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1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Holder</dc:creator>
  <cp:keywords/>
  <dc:description/>
  <cp:lastModifiedBy>Nadine Holder</cp:lastModifiedBy>
  <cp:revision>4</cp:revision>
  <dcterms:created xsi:type="dcterms:W3CDTF">2018-09-17T03:24:00Z</dcterms:created>
  <dcterms:modified xsi:type="dcterms:W3CDTF">2018-09-17T03:34:00Z</dcterms:modified>
</cp:coreProperties>
</file>