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FC16" w14:textId="77777777" w:rsidR="00CC244C" w:rsidRDefault="00CC244C" w:rsidP="00CC244C">
      <w:pPr>
        <w:rPr>
          <w:b/>
          <w:color w:val="0070C0"/>
          <w:sz w:val="36"/>
          <w:szCs w:val="36"/>
        </w:rPr>
      </w:pPr>
      <w:r w:rsidRPr="00CC244C">
        <w:rPr>
          <w:b/>
          <w:color w:val="0070C0"/>
          <w:sz w:val="36"/>
          <w:szCs w:val="36"/>
        </w:rPr>
        <w:t>Contraindications for Lidocaine</w:t>
      </w:r>
      <w:r>
        <w:rPr>
          <w:b/>
          <w:color w:val="0070C0"/>
          <w:sz w:val="36"/>
          <w:szCs w:val="36"/>
        </w:rPr>
        <w:t>:</w:t>
      </w:r>
    </w:p>
    <w:p w14:paraId="2DA2A4DD" w14:textId="76A663BB" w:rsidR="00CC244C" w:rsidRPr="00CC244C" w:rsidRDefault="00CC244C" w:rsidP="00CC244C">
      <w:pPr>
        <w:rPr>
          <w:b/>
          <w:color w:val="0070C0"/>
          <w:sz w:val="24"/>
          <w:szCs w:val="24"/>
        </w:rPr>
      </w:pPr>
      <w:r w:rsidRPr="00CC244C">
        <w:rPr>
          <w:b/>
          <w:color w:val="0070C0"/>
          <w:sz w:val="24"/>
          <w:szCs w:val="24"/>
        </w:rPr>
        <w:t xml:space="preserve"> </w:t>
      </w:r>
    </w:p>
    <w:p w14:paraId="539B85D4" w14:textId="42CDF66A" w:rsidR="00CC244C" w:rsidRPr="00CC244C" w:rsidRDefault="00CC244C" w:rsidP="00CC244C">
      <w:pPr>
        <w:numPr>
          <w:ilvl w:val="0"/>
          <w:numId w:val="1"/>
        </w:numPr>
        <w:rPr>
          <w:sz w:val="24"/>
          <w:szCs w:val="24"/>
        </w:rPr>
      </w:pPr>
      <w:r w:rsidRPr="00CC244C">
        <w:rPr>
          <w:sz w:val="24"/>
          <w:szCs w:val="24"/>
        </w:rPr>
        <w:t xml:space="preserve">It </w:t>
      </w:r>
      <w:r w:rsidRPr="00CC244C">
        <w:rPr>
          <w:sz w:val="24"/>
          <w:szCs w:val="24"/>
        </w:rPr>
        <w:t>has a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>known hypersensitivity to</w:t>
      </w:r>
      <w:r w:rsidRPr="00CC244C">
        <w:rPr>
          <w:sz w:val="24"/>
          <w:szCs w:val="24"/>
        </w:rPr>
        <w:t xml:space="preserve"> amide-class local </w:t>
      </w:r>
      <w:r w:rsidRPr="00CC244C">
        <w:rPr>
          <w:sz w:val="24"/>
          <w:szCs w:val="24"/>
        </w:rPr>
        <w:t>anaesthetics</w:t>
      </w:r>
      <w:r w:rsidRPr="00CC244C">
        <w:rPr>
          <w:sz w:val="24"/>
          <w:szCs w:val="24"/>
        </w:rPr>
        <w:t>,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>severe degree of SA, AV or intraventricular heart block (if not being artificia</w:t>
      </w:r>
      <w:r w:rsidRPr="00CC244C">
        <w:rPr>
          <w:sz w:val="24"/>
          <w:szCs w:val="24"/>
        </w:rPr>
        <w:t>lly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>paced), or Adams-Stokes syndrome.</w:t>
      </w:r>
    </w:p>
    <w:p w14:paraId="106A042A" w14:textId="719D5EA0" w:rsidR="00CC244C" w:rsidRPr="00CC244C" w:rsidRDefault="00CC244C" w:rsidP="00CC244C">
      <w:pPr>
        <w:numPr>
          <w:ilvl w:val="0"/>
          <w:numId w:val="1"/>
        </w:numPr>
        <w:rPr>
          <w:sz w:val="24"/>
          <w:szCs w:val="24"/>
        </w:rPr>
      </w:pPr>
      <w:r w:rsidRPr="00CC244C">
        <w:rPr>
          <w:sz w:val="24"/>
          <w:szCs w:val="24"/>
        </w:rPr>
        <w:t>Lidocaine should be used with caution in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>horses</w:t>
      </w:r>
      <w:r w:rsidRPr="00CC244C">
        <w:rPr>
          <w:sz w:val="24"/>
          <w:szCs w:val="24"/>
        </w:rPr>
        <w:t xml:space="preserve"> with liver disease, congestive heart failure,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>shock, hypovolemia, severe respiratory depression, or marked hypoxia.</w:t>
      </w:r>
    </w:p>
    <w:p w14:paraId="37180982" w14:textId="3AC9A33C" w:rsidR="00CC244C" w:rsidRPr="00CC244C" w:rsidRDefault="00CC244C" w:rsidP="00CC244C">
      <w:pPr>
        <w:numPr>
          <w:ilvl w:val="0"/>
          <w:numId w:val="1"/>
        </w:numPr>
        <w:rPr>
          <w:sz w:val="24"/>
          <w:szCs w:val="24"/>
        </w:rPr>
      </w:pPr>
      <w:r w:rsidRPr="00CC244C">
        <w:rPr>
          <w:sz w:val="24"/>
          <w:szCs w:val="24"/>
        </w:rPr>
        <w:t xml:space="preserve">It </w:t>
      </w:r>
      <w:r w:rsidRPr="00CC244C">
        <w:rPr>
          <w:sz w:val="24"/>
          <w:szCs w:val="24"/>
        </w:rPr>
        <w:t>should also</w:t>
      </w:r>
      <w:r w:rsidRPr="00CC244C">
        <w:rPr>
          <w:sz w:val="24"/>
          <w:szCs w:val="24"/>
        </w:rPr>
        <w:t xml:space="preserve"> be used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 xml:space="preserve">with caution in </w:t>
      </w:r>
      <w:r w:rsidRPr="00CC244C">
        <w:rPr>
          <w:sz w:val="24"/>
          <w:szCs w:val="24"/>
        </w:rPr>
        <w:t>ho</w:t>
      </w:r>
      <w:r w:rsidRPr="00CC244C">
        <w:rPr>
          <w:sz w:val="24"/>
          <w:szCs w:val="24"/>
        </w:rPr>
        <w:t>rses</w:t>
      </w:r>
      <w:r w:rsidRPr="00CC244C">
        <w:rPr>
          <w:sz w:val="24"/>
          <w:szCs w:val="24"/>
        </w:rPr>
        <w:t xml:space="preserve"> with bradycardia or incomplete heart block having VPC’s, unless the</w:t>
      </w:r>
      <w:r w:rsidRPr="00CC244C">
        <w:rPr>
          <w:sz w:val="24"/>
          <w:szCs w:val="24"/>
        </w:rPr>
        <w:t xml:space="preserve"> </w:t>
      </w:r>
      <w:r w:rsidRPr="00CC244C">
        <w:rPr>
          <w:sz w:val="24"/>
          <w:szCs w:val="24"/>
        </w:rPr>
        <w:t>heart rate is fir</w:t>
      </w:r>
      <w:r w:rsidRPr="00CC244C">
        <w:rPr>
          <w:sz w:val="24"/>
          <w:szCs w:val="24"/>
        </w:rPr>
        <w:t>st accelerated.</w:t>
      </w:r>
      <w:bookmarkStart w:id="0" w:name="_GoBack"/>
      <w:bookmarkEnd w:id="0"/>
    </w:p>
    <w:p w14:paraId="6705A731" w14:textId="77777777" w:rsidR="00C7748E" w:rsidRPr="00CC244C" w:rsidRDefault="00CC244C" w:rsidP="00CC244C">
      <w:pPr>
        <w:numPr>
          <w:ilvl w:val="0"/>
          <w:numId w:val="1"/>
        </w:numPr>
        <w:rPr>
          <w:sz w:val="24"/>
          <w:szCs w:val="24"/>
        </w:rPr>
      </w:pPr>
      <w:r w:rsidRPr="00CC244C">
        <w:rPr>
          <w:sz w:val="24"/>
          <w:szCs w:val="24"/>
        </w:rPr>
        <w:t xml:space="preserve">Patients susceptible to developing malignant hyperthermia </w:t>
      </w:r>
      <w:r w:rsidRPr="00CC244C">
        <w:rPr>
          <w:sz w:val="24"/>
          <w:szCs w:val="24"/>
        </w:rPr>
        <w:t>should,</w:t>
      </w:r>
      <w:r w:rsidRPr="00CC244C">
        <w:rPr>
          <w:sz w:val="24"/>
          <w:szCs w:val="24"/>
        </w:rPr>
        <w:t xml:space="preserve"> receive</w:t>
      </w:r>
      <w:r w:rsidRPr="00CC244C">
        <w:rPr>
          <w:sz w:val="24"/>
          <w:szCs w:val="24"/>
        </w:rPr>
        <w:t xml:space="preserve"> lidocaine with intensified monitoring.</w:t>
      </w:r>
    </w:p>
    <w:p w14:paraId="5EEBE9D3" w14:textId="77777777" w:rsidR="00CC244C" w:rsidRPr="00CC244C" w:rsidRDefault="00CC244C" w:rsidP="00CC244C">
      <w:pPr>
        <w:rPr>
          <w:sz w:val="28"/>
          <w:szCs w:val="28"/>
        </w:rPr>
      </w:pPr>
    </w:p>
    <w:p w14:paraId="35BB10D8" w14:textId="19F1BFF7" w:rsidR="003B30A5" w:rsidRDefault="003B30A5"/>
    <w:sectPr w:rsidR="003B3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07518"/>
    <w:multiLevelType w:val="hybridMultilevel"/>
    <w:tmpl w:val="C846B5D2"/>
    <w:lvl w:ilvl="0" w:tplc="2C09000F">
      <w:start w:val="1"/>
      <w:numFmt w:val="decimal"/>
      <w:lvlText w:val="%1."/>
      <w:lvlJc w:val="left"/>
      <w:pPr>
        <w:ind w:left="1800" w:hanging="360"/>
      </w:p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A5"/>
    <w:rsid w:val="003B30A5"/>
    <w:rsid w:val="00C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8301"/>
  <w15:chartTrackingRefBased/>
  <w15:docId w15:val="{173823AC-4BC9-42FE-8C57-7CE19972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2018-09-14T00:15:00Z</dcterms:created>
  <dcterms:modified xsi:type="dcterms:W3CDTF">2018-09-15T09:19:00Z</dcterms:modified>
</cp:coreProperties>
</file>