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9231" w:type="dxa"/>
        <w:tblInd w:w="-252" w:type="dxa"/>
        <w:tblLayout w:type="fixed"/>
        <w:tblLook w:val="04A0" w:firstRow="1" w:lastRow="0" w:firstColumn="1" w:lastColumn="0" w:noHBand="0" w:noVBand="1"/>
      </w:tblPr>
      <w:tblGrid>
        <w:gridCol w:w="4551"/>
        <w:gridCol w:w="2055"/>
        <w:gridCol w:w="5725"/>
        <w:gridCol w:w="3377"/>
        <w:gridCol w:w="3523"/>
      </w:tblGrid>
      <w:tr w:rsidR="000C362D" w:rsidRPr="006F6D5E" w:rsidTr="000C362D">
        <w:trPr>
          <w:trHeight w:val="796"/>
        </w:trPr>
        <w:tc>
          <w:tcPr>
            <w:tcW w:w="4551" w:type="dxa"/>
          </w:tcPr>
          <w:p w:rsidR="000C362D" w:rsidRPr="00C50170" w:rsidRDefault="000C362D" w:rsidP="00DA75AC">
            <w:pPr>
              <w:rPr>
                <w:rFonts w:asciiTheme="majorHAnsi" w:hAnsiTheme="majorHAnsi"/>
                <w:b/>
                <w:sz w:val="28"/>
                <w:szCs w:val="28"/>
              </w:rPr>
            </w:pPr>
            <w:r w:rsidRPr="00C50170">
              <w:rPr>
                <w:rFonts w:asciiTheme="majorHAnsi" w:hAnsiTheme="majorHAnsi"/>
                <w:b/>
                <w:sz w:val="28"/>
                <w:szCs w:val="28"/>
              </w:rPr>
              <w:t>Drug</w:t>
            </w:r>
          </w:p>
        </w:tc>
        <w:tc>
          <w:tcPr>
            <w:tcW w:w="2055" w:type="dxa"/>
          </w:tcPr>
          <w:p w:rsidR="000C362D" w:rsidRPr="00C50170" w:rsidRDefault="000C362D" w:rsidP="00DA75AC">
            <w:pPr>
              <w:rPr>
                <w:rFonts w:asciiTheme="majorHAnsi" w:hAnsiTheme="majorHAnsi"/>
                <w:b/>
                <w:sz w:val="28"/>
                <w:szCs w:val="28"/>
              </w:rPr>
            </w:pPr>
            <w:r w:rsidRPr="00C50170">
              <w:rPr>
                <w:rFonts w:asciiTheme="majorHAnsi" w:hAnsiTheme="majorHAnsi"/>
                <w:b/>
                <w:sz w:val="28"/>
                <w:szCs w:val="28"/>
              </w:rPr>
              <w:t>Species</w:t>
            </w:r>
          </w:p>
        </w:tc>
        <w:tc>
          <w:tcPr>
            <w:tcW w:w="5725" w:type="dxa"/>
          </w:tcPr>
          <w:p w:rsidR="000C362D" w:rsidRPr="00C50170" w:rsidRDefault="000C362D" w:rsidP="00DA75AC">
            <w:pPr>
              <w:rPr>
                <w:rFonts w:asciiTheme="majorHAnsi" w:hAnsiTheme="majorHAnsi"/>
                <w:b/>
                <w:sz w:val="28"/>
                <w:szCs w:val="28"/>
              </w:rPr>
            </w:pPr>
            <w:r w:rsidRPr="00C50170">
              <w:rPr>
                <w:rFonts w:asciiTheme="majorHAnsi" w:hAnsiTheme="majorHAnsi"/>
                <w:b/>
                <w:sz w:val="28"/>
                <w:szCs w:val="28"/>
              </w:rPr>
              <w:t>Indications</w:t>
            </w:r>
          </w:p>
        </w:tc>
        <w:tc>
          <w:tcPr>
            <w:tcW w:w="3377" w:type="dxa"/>
          </w:tcPr>
          <w:p w:rsidR="000C362D" w:rsidRPr="00C50170" w:rsidRDefault="000C362D" w:rsidP="00DA75AC">
            <w:pPr>
              <w:rPr>
                <w:rFonts w:asciiTheme="majorHAnsi" w:hAnsiTheme="majorHAnsi"/>
                <w:b/>
                <w:sz w:val="28"/>
                <w:szCs w:val="28"/>
              </w:rPr>
            </w:pPr>
            <w:r w:rsidRPr="00C50170">
              <w:rPr>
                <w:rFonts w:asciiTheme="majorHAnsi" w:hAnsiTheme="majorHAnsi"/>
                <w:b/>
                <w:sz w:val="28"/>
                <w:szCs w:val="28"/>
              </w:rPr>
              <w:t>Therapeutic Dose</w:t>
            </w:r>
          </w:p>
        </w:tc>
        <w:tc>
          <w:tcPr>
            <w:tcW w:w="3523" w:type="dxa"/>
          </w:tcPr>
          <w:p w:rsidR="000C362D" w:rsidRPr="00C50170" w:rsidRDefault="000C362D" w:rsidP="00DA75AC">
            <w:pPr>
              <w:rPr>
                <w:rFonts w:asciiTheme="majorHAnsi" w:hAnsiTheme="majorHAnsi"/>
                <w:b/>
                <w:sz w:val="28"/>
                <w:szCs w:val="28"/>
              </w:rPr>
            </w:pPr>
            <w:r w:rsidRPr="00C50170">
              <w:rPr>
                <w:rFonts w:asciiTheme="majorHAnsi" w:hAnsiTheme="majorHAnsi"/>
                <w:b/>
                <w:sz w:val="28"/>
                <w:szCs w:val="28"/>
              </w:rPr>
              <w:t>Contraindications</w:t>
            </w:r>
          </w:p>
        </w:tc>
      </w:tr>
      <w:tr w:rsidR="000C362D" w:rsidRPr="006F6D5E" w:rsidTr="000C362D">
        <w:trPr>
          <w:trHeight w:val="4499"/>
        </w:trPr>
        <w:tc>
          <w:tcPr>
            <w:tcW w:w="4551" w:type="dxa"/>
          </w:tcPr>
          <w:p w:rsidR="000C362D" w:rsidRPr="00C50170" w:rsidRDefault="000C362D" w:rsidP="006F6D5E">
            <w:pPr>
              <w:ind w:left="-108"/>
              <w:rPr>
                <w:rFonts w:asciiTheme="majorHAnsi" w:hAnsiTheme="majorHAnsi"/>
                <w:noProof/>
                <w:sz w:val="28"/>
                <w:szCs w:val="28"/>
                <w:lang w:val="en-US"/>
              </w:rPr>
            </w:pPr>
            <w:r w:rsidRPr="00C50170">
              <w:rPr>
                <w:rFonts w:asciiTheme="majorHAnsi" w:hAnsiTheme="majorHAnsi"/>
                <w:noProof/>
                <w:sz w:val="28"/>
                <w:szCs w:val="28"/>
                <w:lang w:val="en-US"/>
              </w:rPr>
              <w:t>Universal Animal Antidote Gel (NICH UAA GEL) Easy Dose Tube</w:t>
            </w:r>
          </w:p>
          <w:p w:rsidR="000C362D" w:rsidRPr="00C50170" w:rsidRDefault="000C362D" w:rsidP="006F6D5E">
            <w:pPr>
              <w:ind w:left="-108"/>
              <w:rPr>
                <w:rFonts w:asciiTheme="majorHAnsi" w:hAnsiTheme="majorHAnsi"/>
                <w:noProof/>
                <w:sz w:val="28"/>
                <w:szCs w:val="28"/>
                <w:lang w:val="en-US"/>
              </w:rPr>
            </w:pPr>
          </w:p>
          <w:p w:rsidR="000C362D" w:rsidRPr="00C50170" w:rsidRDefault="000C362D" w:rsidP="006F6D5E">
            <w:pPr>
              <w:ind w:left="-108"/>
              <w:rPr>
                <w:rFonts w:asciiTheme="majorHAnsi" w:hAnsiTheme="majorHAnsi"/>
                <w:sz w:val="28"/>
                <w:szCs w:val="28"/>
              </w:rPr>
            </w:pPr>
            <w:r w:rsidRPr="00C50170">
              <w:rPr>
                <w:rFonts w:asciiTheme="majorHAnsi" w:hAnsiTheme="majorHAnsi"/>
                <w:noProof/>
                <w:sz w:val="28"/>
                <w:szCs w:val="28"/>
                <w:lang w:val="en-US"/>
              </w:rPr>
              <w:drawing>
                <wp:inline distT="0" distB="0" distL="0" distR="0">
                  <wp:extent cx="1702872" cy="1175658"/>
                  <wp:effectExtent l="19050" t="0" r="0" b="0"/>
                  <wp:docPr id="5" name="Picture 1" descr="E:\Dr. Diptee Introduction and Lab 1\las 2\Drugs\IMG-20180906-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 Diptee Introduction and Lab 1\las 2\Drugs\IMG-20180906-WA0036.jpg"/>
                          <pic:cNvPicPr>
                            <a:picLocks noChangeAspect="1" noChangeArrowheads="1"/>
                          </pic:cNvPicPr>
                        </pic:nvPicPr>
                        <pic:blipFill>
                          <a:blip r:embed="rId7" cstate="print"/>
                          <a:srcRect t="22609" b="13913"/>
                          <a:stretch>
                            <a:fillRect/>
                          </a:stretch>
                        </pic:blipFill>
                        <pic:spPr bwMode="auto">
                          <a:xfrm>
                            <a:off x="0" y="0"/>
                            <a:ext cx="1701091" cy="1174428"/>
                          </a:xfrm>
                          <a:prstGeom prst="rect">
                            <a:avLst/>
                          </a:prstGeom>
                          <a:noFill/>
                          <a:ln w="9525">
                            <a:noFill/>
                            <a:miter lim="800000"/>
                            <a:headEnd/>
                            <a:tailEnd/>
                          </a:ln>
                        </pic:spPr>
                      </pic:pic>
                    </a:graphicData>
                  </a:graphic>
                </wp:inline>
              </w:drawing>
            </w:r>
          </w:p>
        </w:tc>
        <w:tc>
          <w:tcPr>
            <w:tcW w:w="2055" w:type="dxa"/>
          </w:tcPr>
          <w:p w:rsidR="000C362D" w:rsidRPr="00C50170" w:rsidRDefault="000C362D">
            <w:pPr>
              <w:rPr>
                <w:rFonts w:asciiTheme="majorHAnsi" w:hAnsiTheme="majorHAnsi"/>
                <w:sz w:val="28"/>
                <w:szCs w:val="28"/>
              </w:rPr>
            </w:pPr>
            <w:r w:rsidRPr="00C50170">
              <w:rPr>
                <w:rFonts w:asciiTheme="majorHAnsi" w:hAnsiTheme="majorHAnsi"/>
                <w:sz w:val="28"/>
                <w:szCs w:val="28"/>
              </w:rPr>
              <w:t>Beef Cattle, Dairy Cattle, Horses</w:t>
            </w:r>
            <w:r w:rsidR="00407043">
              <w:rPr>
                <w:rFonts w:asciiTheme="majorHAnsi" w:hAnsiTheme="majorHAnsi"/>
                <w:sz w:val="28"/>
                <w:szCs w:val="28"/>
              </w:rPr>
              <w:t>, Sheep and Goats</w:t>
            </w:r>
            <w:bookmarkStart w:id="0" w:name="_GoBack"/>
            <w:bookmarkEnd w:id="0"/>
          </w:p>
        </w:tc>
        <w:tc>
          <w:tcPr>
            <w:tcW w:w="5725" w:type="dxa"/>
          </w:tcPr>
          <w:p w:rsidR="000C362D" w:rsidRPr="00C50170" w:rsidRDefault="000C362D" w:rsidP="000C362D">
            <w:pPr>
              <w:autoSpaceDE w:val="0"/>
              <w:autoSpaceDN w:val="0"/>
              <w:adjustRightInd w:val="0"/>
              <w:rPr>
                <w:rFonts w:asciiTheme="majorHAnsi" w:hAnsiTheme="majorHAnsi" w:cs="Times-Roman"/>
                <w:sz w:val="28"/>
                <w:szCs w:val="28"/>
                <w:lang w:val="en-US"/>
              </w:rPr>
            </w:pPr>
            <w:r w:rsidRPr="00C50170">
              <w:rPr>
                <w:rFonts w:asciiTheme="majorHAnsi" w:hAnsiTheme="majorHAnsi"/>
                <w:sz w:val="28"/>
                <w:szCs w:val="28"/>
              </w:rPr>
              <w:t>For use as emergency first aid for combating poisoning caused by the accidental ingestion of insecticides, herbicides, organic chemicals, and intestinal toxins from bacteria. UAA GEL is also indicated grain overload in ruminants</w:t>
            </w:r>
          </w:p>
        </w:tc>
        <w:tc>
          <w:tcPr>
            <w:tcW w:w="3377" w:type="dxa"/>
          </w:tcPr>
          <w:p w:rsidR="000C362D" w:rsidRPr="00C50170" w:rsidRDefault="000C362D" w:rsidP="00882DD1">
            <w:pPr>
              <w:rPr>
                <w:rFonts w:asciiTheme="majorHAnsi" w:hAnsiTheme="majorHAnsi"/>
                <w:sz w:val="28"/>
                <w:szCs w:val="28"/>
              </w:rPr>
            </w:pPr>
            <w:r w:rsidRPr="00C50170">
              <w:rPr>
                <w:rFonts w:asciiTheme="majorHAnsi" w:hAnsiTheme="majorHAnsi"/>
                <w:sz w:val="28"/>
                <w:szCs w:val="28"/>
              </w:rPr>
              <w:t>Oral dose:</w:t>
            </w:r>
          </w:p>
          <w:p w:rsidR="000C362D" w:rsidRPr="00C50170" w:rsidRDefault="000C362D" w:rsidP="00882DD1">
            <w:pPr>
              <w:rPr>
                <w:rFonts w:asciiTheme="majorHAnsi" w:hAnsiTheme="majorHAnsi"/>
                <w:sz w:val="28"/>
                <w:szCs w:val="28"/>
              </w:rPr>
            </w:pPr>
            <w:r w:rsidRPr="00C50170">
              <w:rPr>
                <w:rFonts w:asciiTheme="majorHAnsi" w:hAnsiTheme="majorHAnsi"/>
                <w:sz w:val="28"/>
                <w:szCs w:val="28"/>
              </w:rPr>
              <w:t>Large Animals: 1 to 3 mL per kilogram (2.2 lb) of body weight. A dose syringe may be used. However, the use of a stomach tube is recommended for comatose or severely debilitated animals. For cattle and horses, it is recommended that the entire contents of one tube (300 mL) of UAA be given.</w:t>
            </w:r>
          </w:p>
        </w:tc>
        <w:tc>
          <w:tcPr>
            <w:tcW w:w="3523" w:type="dxa"/>
          </w:tcPr>
          <w:p w:rsidR="000C362D" w:rsidRPr="00C50170" w:rsidRDefault="000C362D" w:rsidP="000C362D">
            <w:pPr>
              <w:rPr>
                <w:rFonts w:asciiTheme="majorHAnsi" w:hAnsiTheme="majorHAnsi"/>
                <w:sz w:val="28"/>
                <w:szCs w:val="28"/>
              </w:rPr>
            </w:pPr>
            <w:r w:rsidRPr="00C50170">
              <w:rPr>
                <w:rFonts w:asciiTheme="majorHAnsi" w:hAnsiTheme="majorHAnsi"/>
                <w:sz w:val="28"/>
                <w:szCs w:val="28"/>
              </w:rPr>
              <w:t>UAA GEL may not be very effective in the treatment of heavy metal poisoning from lead, arsenic, or mercury.</w:t>
            </w:r>
          </w:p>
          <w:p w:rsidR="000C362D" w:rsidRPr="00C50170" w:rsidRDefault="000C362D" w:rsidP="000C362D">
            <w:pPr>
              <w:shd w:val="clear" w:color="auto" w:fill="FFFFFF"/>
              <w:spacing w:before="100" w:beforeAutospacing="1" w:after="100" w:afterAutospacing="1"/>
              <w:rPr>
                <w:rFonts w:asciiTheme="majorHAnsi" w:hAnsiTheme="majorHAnsi" w:cs="Times-Roman"/>
                <w:sz w:val="28"/>
                <w:szCs w:val="28"/>
                <w:lang w:val="en-US"/>
              </w:rPr>
            </w:pPr>
          </w:p>
        </w:tc>
      </w:tr>
    </w:tbl>
    <w:p w:rsidR="00105717" w:rsidRDefault="00105717" w:rsidP="00400CAD">
      <w:pPr>
        <w:rPr>
          <w:rFonts w:asciiTheme="majorHAnsi" w:hAnsiTheme="majorHAnsi"/>
          <w:sz w:val="22"/>
          <w:szCs w:val="22"/>
        </w:rPr>
      </w:pPr>
    </w:p>
    <w:p w:rsidR="000C362D" w:rsidRPr="000C362D" w:rsidRDefault="000C362D" w:rsidP="00400CAD">
      <w:pPr>
        <w:rPr>
          <w:rFonts w:asciiTheme="majorHAnsi" w:hAnsiTheme="majorHAnsi"/>
        </w:rPr>
      </w:pPr>
      <w:r w:rsidRPr="000C362D">
        <w:rPr>
          <w:rFonts w:asciiTheme="majorHAnsi" w:hAnsiTheme="majorHAnsi"/>
        </w:rPr>
        <w:t>* Protect from freezing</w:t>
      </w:r>
    </w:p>
    <w:sectPr w:rsidR="000C362D" w:rsidRPr="000C362D" w:rsidSect="001E569D">
      <w:pgSz w:w="20160" w:h="12240" w:orient="landscape" w:code="5"/>
      <w:pgMar w:top="36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72" w:rsidRDefault="00D36372" w:rsidP="001E569D">
      <w:pPr>
        <w:spacing w:after="0" w:line="240" w:lineRule="auto"/>
      </w:pPr>
      <w:r>
        <w:separator/>
      </w:r>
    </w:p>
  </w:endnote>
  <w:endnote w:type="continuationSeparator" w:id="0">
    <w:p w:rsidR="00D36372" w:rsidRDefault="00D36372" w:rsidP="001E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72" w:rsidRDefault="00D36372" w:rsidP="001E569D">
      <w:pPr>
        <w:spacing w:after="0" w:line="240" w:lineRule="auto"/>
      </w:pPr>
      <w:r>
        <w:separator/>
      </w:r>
    </w:p>
  </w:footnote>
  <w:footnote w:type="continuationSeparator" w:id="0">
    <w:p w:rsidR="00D36372" w:rsidRDefault="00D36372" w:rsidP="001E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39FD"/>
    <w:multiLevelType w:val="hybridMultilevel"/>
    <w:tmpl w:val="DD72E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936F2"/>
    <w:multiLevelType w:val="hybridMultilevel"/>
    <w:tmpl w:val="BEB84560"/>
    <w:lvl w:ilvl="0" w:tplc="DA964D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51616"/>
    <w:multiLevelType w:val="hybridMultilevel"/>
    <w:tmpl w:val="9C26F350"/>
    <w:lvl w:ilvl="0" w:tplc="74848C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4326E"/>
    <w:multiLevelType w:val="hybridMultilevel"/>
    <w:tmpl w:val="86EE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2DD1"/>
    <w:rsid w:val="000C362D"/>
    <w:rsid w:val="00105717"/>
    <w:rsid w:val="001E0472"/>
    <w:rsid w:val="001E569D"/>
    <w:rsid w:val="0033317B"/>
    <w:rsid w:val="00400CAD"/>
    <w:rsid w:val="00407043"/>
    <w:rsid w:val="006D0689"/>
    <w:rsid w:val="006F6D5E"/>
    <w:rsid w:val="007D44F1"/>
    <w:rsid w:val="00882DD1"/>
    <w:rsid w:val="00892D2F"/>
    <w:rsid w:val="009049D1"/>
    <w:rsid w:val="0093134A"/>
    <w:rsid w:val="00970CAA"/>
    <w:rsid w:val="00AD7CE2"/>
    <w:rsid w:val="00BE114F"/>
    <w:rsid w:val="00C50170"/>
    <w:rsid w:val="00D36372"/>
    <w:rsid w:val="00ED0441"/>
    <w:rsid w:val="00EF14B5"/>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0EF1"/>
  <w15:docId w15:val="{BA1E6A4C-3C41-4E30-A73F-ED7A9368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41"/>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D1"/>
    <w:rPr>
      <w:rFonts w:ascii="Tahoma" w:hAnsi="Tahoma" w:cs="Tahoma"/>
      <w:sz w:val="16"/>
      <w:szCs w:val="16"/>
      <w:lang w:val="en-TT"/>
    </w:rPr>
  </w:style>
  <w:style w:type="paragraph" w:styleId="NormalWeb">
    <w:name w:val="Normal (Web)"/>
    <w:basedOn w:val="Normal"/>
    <w:uiPriority w:val="99"/>
    <w:unhideWhenUsed/>
    <w:rsid w:val="00882DD1"/>
    <w:pPr>
      <w:spacing w:before="100" w:beforeAutospacing="1" w:after="100" w:afterAutospacing="1" w:line="240" w:lineRule="auto"/>
    </w:pPr>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1E5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69D"/>
    <w:rPr>
      <w:lang w:val="en-TT"/>
    </w:rPr>
  </w:style>
  <w:style w:type="paragraph" w:styleId="Footer">
    <w:name w:val="footer"/>
    <w:basedOn w:val="Normal"/>
    <w:link w:val="FooterChar"/>
    <w:uiPriority w:val="99"/>
    <w:semiHidden/>
    <w:unhideWhenUsed/>
    <w:rsid w:val="001E5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69D"/>
    <w:rPr>
      <w:lang w:val="en-TT"/>
    </w:rPr>
  </w:style>
  <w:style w:type="paragraph" w:styleId="ListParagraph">
    <w:name w:val="List Paragraph"/>
    <w:basedOn w:val="Normal"/>
    <w:uiPriority w:val="34"/>
    <w:qFormat/>
    <w:rsid w:val="006F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Maharaj</dc:creator>
  <cp:lastModifiedBy>Krystal Maharaj</cp:lastModifiedBy>
  <cp:revision>7</cp:revision>
  <dcterms:created xsi:type="dcterms:W3CDTF">2018-09-06T21:29:00Z</dcterms:created>
  <dcterms:modified xsi:type="dcterms:W3CDTF">2018-09-08T12:58:00Z</dcterms:modified>
</cp:coreProperties>
</file>