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90"/>
        <w:gridCol w:w="1260"/>
        <w:gridCol w:w="3240"/>
        <w:gridCol w:w="2430"/>
        <w:gridCol w:w="2160"/>
        <w:gridCol w:w="2160"/>
        <w:gridCol w:w="2700"/>
        <w:gridCol w:w="2970"/>
      </w:tblGrid>
      <w:tr w:rsidR="00313893" w:rsidRPr="006F6D5E" w:rsidTr="00313893">
        <w:trPr>
          <w:trHeight w:val="741"/>
        </w:trPr>
        <w:tc>
          <w:tcPr>
            <w:tcW w:w="2790" w:type="dxa"/>
          </w:tcPr>
          <w:p w:rsidR="00313893" w:rsidRPr="006F6D5E" w:rsidRDefault="00313893" w:rsidP="00492E4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Drug</w:t>
            </w:r>
          </w:p>
        </w:tc>
        <w:tc>
          <w:tcPr>
            <w:tcW w:w="1260" w:type="dxa"/>
          </w:tcPr>
          <w:p w:rsidR="00313893" w:rsidRPr="006F6D5E" w:rsidRDefault="00313893" w:rsidP="00492E4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Species</w:t>
            </w:r>
          </w:p>
        </w:tc>
        <w:tc>
          <w:tcPr>
            <w:tcW w:w="3240" w:type="dxa"/>
          </w:tcPr>
          <w:p w:rsidR="00313893" w:rsidRPr="006F6D5E" w:rsidRDefault="00313893" w:rsidP="00492E4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Indications</w:t>
            </w:r>
          </w:p>
        </w:tc>
        <w:tc>
          <w:tcPr>
            <w:tcW w:w="2430" w:type="dxa"/>
          </w:tcPr>
          <w:p w:rsidR="00313893" w:rsidRPr="006F6D5E" w:rsidRDefault="00313893" w:rsidP="00492E4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Therapeutic Dose</w:t>
            </w:r>
          </w:p>
        </w:tc>
        <w:tc>
          <w:tcPr>
            <w:tcW w:w="2160" w:type="dxa"/>
          </w:tcPr>
          <w:p w:rsidR="00313893" w:rsidRPr="006F6D5E" w:rsidRDefault="00313893" w:rsidP="00492E4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Lethal Dose/ Toxicity</w:t>
            </w:r>
          </w:p>
        </w:tc>
        <w:tc>
          <w:tcPr>
            <w:tcW w:w="2160" w:type="dxa"/>
          </w:tcPr>
          <w:p w:rsidR="00313893" w:rsidRPr="006F6D5E" w:rsidRDefault="00313893" w:rsidP="00492E4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Contraindications</w:t>
            </w:r>
          </w:p>
        </w:tc>
        <w:tc>
          <w:tcPr>
            <w:tcW w:w="2700" w:type="dxa"/>
          </w:tcPr>
          <w:p w:rsidR="00313893" w:rsidRPr="006F6D5E" w:rsidRDefault="00313893" w:rsidP="00492E4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Pharmacology</w:t>
            </w:r>
          </w:p>
        </w:tc>
        <w:tc>
          <w:tcPr>
            <w:tcW w:w="2970" w:type="dxa"/>
          </w:tcPr>
          <w:p w:rsidR="00313893" w:rsidRPr="006F6D5E" w:rsidRDefault="00313893" w:rsidP="00492E4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Adverse Effects</w:t>
            </w:r>
          </w:p>
        </w:tc>
      </w:tr>
      <w:tr w:rsidR="00313893" w:rsidRPr="006F6D5E" w:rsidTr="00313893">
        <w:trPr>
          <w:trHeight w:val="10313"/>
        </w:trPr>
        <w:tc>
          <w:tcPr>
            <w:tcW w:w="2790" w:type="dxa"/>
          </w:tcPr>
          <w:p w:rsidR="00313893" w:rsidRPr="00313893" w:rsidRDefault="00313893" w:rsidP="00313893">
            <w:pPr>
              <w:ind w:left="-108"/>
              <w:rPr>
                <w:rFonts w:asciiTheme="majorHAnsi" w:hAnsiTheme="majorHAnsi"/>
              </w:rPr>
            </w:pPr>
            <w:r w:rsidRPr="00313893">
              <w:rPr>
                <w:rFonts w:asciiTheme="majorHAnsi" w:hAnsiTheme="majorHAnsi"/>
              </w:rPr>
              <w:t>Fertiline - Gonadorelin Acetate Sterile Injectable Solution</w:t>
            </w:r>
          </w:p>
          <w:p w:rsidR="00313893" w:rsidRPr="00313893" w:rsidRDefault="00313893" w:rsidP="00313893">
            <w:pPr>
              <w:ind w:left="-108"/>
              <w:rPr>
                <w:rFonts w:asciiTheme="majorHAnsi" w:hAnsiTheme="majorHAnsi"/>
              </w:rPr>
            </w:pPr>
          </w:p>
          <w:p w:rsidR="00313893" w:rsidRPr="00313893" w:rsidRDefault="00313893" w:rsidP="00313893">
            <w:pPr>
              <w:ind w:left="-108"/>
              <w:rPr>
                <w:rFonts w:asciiTheme="majorHAnsi" w:hAnsiTheme="majorHAnsi"/>
              </w:rPr>
            </w:pPr>
            <w:r w:rsidRPr="00313893"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>
                  <wp:extent cx="1655371" cy="3323983"/>
                  <wp:effectExtent l="19050" t="0" r="1979" b="0"/>
                  <wp:docPr id="6" name="Picture 2" descr="E:\Dr. Diptee Introduction and Lab 1\las\Drugs\IMG_20180904_145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r. Diptee Introduction and Lab 1\las\Drugs\IMG_20180904_145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479" r="30465" b="13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371" cy="3323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313893" w:rsidRPr="00313893" w:rsidRDefault="00313893" w:rsidP="00492E46">
            <w:pPr>
              <w:rPr>
                <w:rFonts w:asciiTheme="majorHAnsi" w:hAnsiTheme="majorHAnsi"/>
              </w:rPr>
            </w:pPr>
            <w:r w:rsidRPr="00313893">
              <w:rPr>
                <w:rFonts w:asciiTheme="majorHAnsi" w:hAnsiTheme="majorHAnsi"/>
              </w:rPr>
              <w:t>Cattle, Sheep, Goats</w:t>
            </w:r>
          </w:p>
        </w:tc>
        <w:tc>
          <w:tcPr>
            <w:tcW w:w="3240" w:type="dxa"/>
          </w:tcPr>
          <w:p w:rsidR="00313893" w:rsidRPr="00313893" w:rsidRDefault="00393D67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>
              <w:rPr>
                <w:rFonts w:asciiTheme="majorHAnsi" w:hAnsiTheme="majorHAnsi" w:cs="Times-Roman"/>
                <w:lang w:val="en-US"/>
              </w:rPr>
              <w:t>F</w:t>
            </w:r>
            <w:bookmarkStart w:id="0" w:name="_GoBack"/>
            <w:bookmarkEnd w:id="0"/>
            <w:r w:rsidR="00313893" w:rsidRPr="00313893">
              <w:rPr>
                <w:rFonts w:asciiTheme="majorHAnsi" w:hAnsiTheme="majorHAnsi" w:cs="Times-Roman"/>
                <w:lang w:val="en-US"/>
              </w:rPr>
              <w:t>or the treatment of ovarian follicular cysts in dairy cattle. Additionally, gonadorelin</w:t>
            </w:r>
            <w:r w:rsidR="00313893">
              <w:rPr>
                <w:rFonts w:asciiTheme="majorHAnsi" w:hAnsiTheme="majorHAnsi" w:cs="Times-Roman"/>
                <w:lang w:val="en-US"/>
              </w:rPr>
              <w:t xml:space="preserve"> </w:t>
            </w:r>
            <w:r w:rsidR="00313893" w:rsidRPr="00313893">
              <w:rPr>
                <w:rFonts w:asciiTheme="majorHAnsi" w:hAnsiTheme="majorHAnsi" w:cs="Times-Roman"/>
                <w:lang w:val="en-US"/>
              </w:rPr>
              <w:t>has been used in cattle to reduce the time interval from calving to first ovulation and to increase</w:t>
            </w:r>
            <w:r w:rsidR="00313893">
              <w:rPr>
                <w:rFonts w:asciiTheme="majorHAnsi" w:hAnsiTheme="majorHAnsi" w:cs="Times-Roman"/>
                <w:lang w:val="en-US"/>
              </w:rPr>
              <w:t xml:space="preserve"> </w:t>
            </w:r>
            <w:r w:rsidR="00313893" w:rsidRPr="00313893">
              <w:rPr>
                <w:rFonts w:asciiTheme="majorHAnsi" w:hAnsiTheme="majorHAnsi" w:cs="Times-Roman"/>
                <w:lang w:val="en-US"/>
              </w:rPr>
              <w:t>the number of ovulations within the first 3 months after calving. This may be particularly</w:t>
            </w:r>
            <w:r w:rsidR="00313893">
              <w:rPr>
                <w:rFonts w:asciiTheme="majorHAnsi" w:hAnsiTheme="majorHAnsi" w:cs="Times-Roman"/>
                <w:lang w:val="en-US"/>
              </w:rPr>
              <w:t xml:space="preserve"> </w:t>
            </w:r>
            <w:r w:rsidR="00313893" w:rsidRPr="00313893">
              <w:rPr>
                <w:rFonts w:asciiTheme="majorHAnsi" w:hAnsiTheme="majorHAnsi" w:cs="Times-Roman"/>
                <w:lang w:val="en-US"/>
              </w:rPr>
              <w:t>important in increasing fertility in cows with retained placenta.</w:t>
            </w:r>
          </w:p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In Europe, a synthetic analogue buserelin, has been used in horses to stimulate cyclic estrus. Its</w:t>
            </w:r>
            <w:r>
              <w:rPr>
                <w:rFonts w:asciiTheme="majorHAnsi" w:hAnsiTheme="majorHAnsi" w:cs="Times-Roman"/>
                <w:lang w:val="en-US"/>
              </w:rPr>
              <w:t xml:space="preserve"> </w:t>
            </w:r>
            <w:r w:rsidRPr="00313893">
              <w:rPr>
                <w:rFonts w:asciiTheme="majorHAnsi" w:hAnsiTheme="majorHAnsi" w:cs="Times-Roman"/>
                <w:lang w:val="en-US"/>
              </w:rPr>
              <w:t>efficacy is poor when compared to an artificial light program, however.</w:t>
            </w:r>
          </w:p>
        </w:tc>
        <w:tc>
          <w:tcPr>
            <w:tcW w:w="2430" w:type="dxa"/>
          </w:tcPr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Bold"/>
                <w:b/>
                <w:bCs/>
                <w:lang w:val="en-US"/>
              </w:rPr>
              <w:t>Cattle</w:t>
            </w:r>
            <w:r w:rsidRPr="00313893">
              <w:rPr>
                <w:rFonts w:asciiTheme="majorHAnsi" w:hAnsiTheme="majorHAnsi" w:cs="Times-Roman"/>
                <w:lang w:val="en-US"/>
              </w:rPr>
              <w:t>:</w:t>
            </w:r>
          </w:p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To treat of ovarian cysts in cattle:</w:t>
            </w:r>
          </w:p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a) 100 micrograms IM or IV</w:t>
            </w:r>
          </w:p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 xml:space="preserve">b) 100 micrograms IM per cow </w:t>
            </w:r>
          </w:p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Bold"/>
                <w:b/>
                <w:bCs/>
                <w:lang w:val="en-US"/>
              </w:rPr>
              <w:t>Sheep &amp; Goats</w:t>
            </w:r>
            <w:r w:rsidRPr="00313893">
              <w:rPr>
                <w:rFonts w:asciiTheme="majorHAnsi" w:hAnsiTheme="majorHAnsi" w:cs="Times-Roman"/>
                <w:lang w:val="en-US"/>
              </w:rPr>
              <w:t>:</w:t>
            </w:r>
          </w:p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To induce ovulation outside of the breeding season in the doe:</w:t>
            </w:r>
          </w:p>
          <w:p w:rsidR="00313893" w:rsidRPr="00313893" w:rsidRDefault="00313893" w:rsidP="00313893">
            <w:pPr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a) 100 micrograms injected daily for 4-5 days (Smith 1986b)</w:t>
            </w:r>
          </w:p>
        </w:tc>
        <w:tc>
          <w:tcPr>
            <w:tcW w:w="2160" w:type="dxa"/>
          </w:tcPr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In doses of up to 120 micrograms/kg, no untoward effects were noted in several</w:t>
            </w:r>
          </w:p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species of test animals. Gonadorelin is unlikely to cause significant adverse effects after</w:t>
            </w:r>
          </w:p>
          <w:p w:rsidR="00313893" w:rsidRPr="00313893" w:rsidRDefault="00313893" w:rsidP="00313893">
            <w:pPr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inadvertent overdosage</w:t>
            </w:r>
          </w:p>
        </w:tc>
        <w:tc>
          <w:tcPr>
            <w:tcW w:w="2160" w:type="dxa"/>
          </w:tcPr>
          <w:p w:rsidR="00313893" w:rsidRPr="00313893" w:rsidRDefault="00313893" w:rsidP="00492E46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 xml:space="preserve">None noted. </w:t>
            </w:r>
          </w:p>
        </w:tc>
        <w:tc>
          <w:tcPr>
            <w:tcW w:w="2700" w:type="dxa"/>
          </w:tcPr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Gonadorelin stimulates the production and the release of FSH and LH from the</w:t>
            </w:r>
            <w:r>
              <w:rPr>
                <w:rFonts w:asciiTheme="majorHAnsi" w:hAnsiTheme="majorHAnsi" w:cs="Times-Roman"/>
                <w:lang w:val="en-US"/>
              </w:rPr>
              <w:t xml:space="preserve"> </w:t>
            </w:r>
            <w:r w:rsidRPr="00313893">
              <w:rPr>
                <w:rFonts w:asciiTheme="majorHAnsi" w:hAnsiTheme="majorHAnsi" w:cs="Times-Roman"/>
                <w:lang w:val="en-US"/>
              </w:rPr>
              <w:t>anterior pituitary. Secretion of endogenous GnRH from the hypothalamus is thought to be</w:t>
            </w:r>
            <w:r>
              <w:rPr>
                <w:rFonts w:asciiTheme="majorHAnsi" w:hAnsiTheme="majorHAnsi" w:cs="Times-Roman"/>
                <w:lang w:val="en-US"/>
              </w:rPr>
              <w:t xml:space="preserve"> </w:t>
            </w:r>
            <w:r w:rsidRPr="00313893">
              <w:rPr>
                <w:rFonts w:asciiTheme="majorHAnsi" w:hAnsiTheme="majorHAnsi" w:cs="Times-Roman"/>
                <w:lang w:val="en-US"/>
              </w:rPr>
              <w:t>controlled by several factors, including circulating sex hormones.</w:t>
            </w:r>
          </w:p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Gonadorelin causes a surge-like release of FSH and LH after a single injection. In cows and</w:t>
            </w:r>
            <w:r>
              <w:rPr>
                <w:rFonts w:asciiTheme="majorHAnsi" w:hAnsiTheme="majorHAnsi" w:cs="Times-Roman"/>
                <w:lang w:val="en-US"/>
              </w:rPr>
              <w:t xml:space="preserve"> </w:t>
            </w:r>
            <w:r w:rsidRPr="00313893">
              <w:rPr>
                <w:rFonts w:asciiTheme="majorHAnsi" w:hAnsiTheme="majorHAnsi" w:cs="Times-Roman"/>
                <w:lang w:val="en-US"/>
              </w:rPr>
              <w:t>ewes, this can induce ovulation, but not in estrus mares. A constant infusion of gonadorelin will</w:t>
            </w:r>
            <w:r>
              <w:rPr>
                <w:rFonts w:asciiTheme="majorHAnsi" w:hAnsiTheme="majorHAnsi" w:cs="Times-Roman"/>
                <w:lang w:val="en-US"/>
              </w:rPr>
              <w:t xml:space="preserve"> </w:t>
            </w:r>
            <w:r w:rsidRPr="00313893">
              <w:rPr>
                <w:rFonts w:asciiTheme="majorHAnsi" w:hAnsiTheme="majorHAnsi" w:cs="Times-Roman"/>
                <w:lang w:val="en-US"/>
              </w:rPr>
              <w:t>initially stimulate LH and FSH release, but after a period of time, levels will return to baseline.</w:t>
            </w:r>
          </w:p>
        </w:tc>
        <w:tc>
          <w:tcPr>
            <w:tcW w:w="2970" w:type="dxa"/>
          </w:tcPr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No reported adverse reactions were located for this agent.</w:t>
            </w:r>
          </w:p>
          <w:p w:rsidR="00313893" w:rsidRPr="00313893" w:rsidRDefault="00313893" w:rsidP="0031389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313893">
              <w:rPr>
                <w:rFonts w:asciiTheme="majorHAnsi" w:hAnsiTheme="majorHAnsi" w:cs="Times-Roman"/>
                <w:lang w:val="en-US"/>
              </w:rPr>
              <w:t>Synthetically prepared gonadorelin should not cause any hypersensitivity reactions. This may not</w:t>
            </w:r>
            <w:r>
              <w:rPr>
                <w:rFonts w:asciiTheme="majorHAnsi" w:hAnsiTheme="majorHAnsi" w:cs="Times-Roman"/>
                <w:lang w:val="en-US"/>
              </w:rPr>
              <w:t xml:space="preserve"> </w:t>
            </w:r>
            <w:r w:rsidRPr="00313893">
              <w:rPr>
                <w:rFonts w:asciiTheme="majorHAnsi" w:hAnsiTheme="majorHAnsi" w:cs="Times-Roman"/>
                <w:lang w:val="en-US"/>
              </w:rPr>
              <w:t>be the case with pituitary-obtained LH preparations or hCG.</w:t>
            </w:r>
          </w:p>
        </w:tc>
      </w:tr>
    </w:tbl>
    <w:p w:rsidR="00313893" w:rsidRPr="006F6D5E" w:rsidRDefault="00313893" w:rsidP="00313893">
      <w:pPr>
        <w:rPr>
          <w:rFonts w:asciiTheme="majorHAnsi" w:hAnsiTheme="majorHAnsi"/>
          <w:sz w:val="22"/>
          <w:szCs w:val="22"/>
        </w:rPr>
      </w:pPr>
    </w:p>
    <w:sectPr w:rsidR="00313893" w:rsidRPr="006F6D5E" w:rsidSect="001E569D">
      <w:pgSz w:w="20160" w:h="12240" w:orient="landscape" w:code="5"/>
      <w:pgMar w:top="36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7D2" w:rsidRDefault="006827D2" w:rsidP="001E569D">
      <w:pPr>
        <w:spacing w:after="0" w:line="240" w:lineRule="auto"/>
      </w:pPr>
      <w:r>
        <w:separator/>
      </w:r>
    </w:p>
  </w:endnote>
  <w:endnote w:type="continuationSeparator" w:id="0">
    <w:p w:rsidR="006827D2" w:rsidRDefault="006827D2" w:rsidP="001E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7D2" w:rsidRDefault="006827D2" w:rsidP="001E569D">
      <w:pPr>
        <w:spacing w:after="0" w:line="240" w:lineRule="auto"/>
      </w:pPr>
      <w:r>
        <w:separator/>
      </w:r>
    </w:p>
  </w:footnote>
  <w:footnote w:type="continuationSeparator" w:id="0">
    <w:p w:rsidR="006827D2" w:rsidRDefault="006827D2" w:rsidP="001E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39FD"/>
    <w:multiLevelType w:val="hybridMultilevel"/>
    <w:tmpl w:val="DD72E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36F2"/>
    <w:multiLevelType w:val="hybridMultilevel"/>
    <w:tmpl w:val="BEB84560"/>
    <w:lvl w:ilvl="0" w:tplc="DA964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1616"/>
    <w:multiLevelType w:val="hybridMultilevel"/>
    <w:tmpl w:val="9C26F350"/>
    <w:lvl w:ilvl="0" w:tplc="74848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326E"/>
    <w:multiLevelType w:val="hybridMultilevel"/>
    <w:tmpl w:val="86EEB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DD1"/>
    <w:rsid w:val="00020C92"/>
    <w:rsid w:val="000E1196"/>
    <w:rsid w:val="00105717"/>
    <w:rsid w:val="001E0472"/>
    <w:rsid w:val="001E569D"/>
    <w:rsid w:val="00313893"/>
    <w:rsid w:val="0033317B"/>
    <w:rsid w:val="00393D67"/>
    <w:rsid w:val="006827D2"/>
    <w:rsid w:val="006D0689"/>
    <w:rsid w:val="006F6D5E"/>
    <w:rsid w:val="007D44F1"/>
    <w:rsid w:val="00882DD1"/>
    <w:rsid w:val="00892D2F"/>
    <w:rsid w:val="0093134A"/>
    <w:rsid w:val="00970CAA"/>
    <w:rsid w:val="00AD7CE2"/>
    <w:rsid w:val="00AF668B"/>
    <w:rsid w:val="00D57ACA"/>
    <w:rsid w:val="00ED0441"/>
    <w:rsid w:val="00EF14B5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82FF"/>
  <w15:docId w15:val="{6BD5BB19-F083-4D73-838E-C26283AE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41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1"/>
    <w:rPr>
      <w:rFonts w:ascii="Tahoma" w:hAnsi="Tahoma" w:cs="Tahoma"/>
      <w:sz w:val="16"/>
      <w:szCs w:val="16"/>
      <w:lang w:val="en-TT"/>
    </w:rPr>
  </w:style>
  <w:style w:type="paragraph" w:styleId="NormalWeb">
    <w:name w:val="Normal (Web)"/>
    <w:basedOn w:val="Normal"/>
    <w:uiPriority w:val="99"/>
    <w:unhideWhenUsed/>
    <w:rsid w:val="0088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69D"/>
    <w:rPr>
      <w:lang w:val="en-TT"/>
    </w:rPr>
  </w:style>
  <w:style w:type="paragraph" w:styleId="Footer">
    <w:name w:val="footer"/>
    <w:basedOn w:val="Normal"/>
    <w:link w:val="Foot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69D"/>
    <w:rPr>
      <w:lang w:val="en-TT"/>
    </w:rPr>
  </w:style>
  <w:style w:type="paragraph" w:styleId="ListParagraph">
    <w:name w:val="List Paragraph"/>
    <w:basedOn w:val="Normal"/>
    <w:uiPriority w:val="34"/>
    <w:qFormat/>
    <w:rsid w:val="006F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Maharaj</dc:creator>
  <cp:lastModifiedBy>Krystal Maharaj</cp:lastModifiedBy>
  <cp:revision>4</cp:revision>
  <dcterms:created xsi:type="dcterms:W3CDTF">2018-09-08T04:17:00Z</dcterms:created>
  <dcterms:modified xsi:type="dcterms:W3CDTF">2018-09-08T12:27:00Z</dcterms:modified>
</cp:coreProperties>
</file>