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23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241"/>
        <w:gridCol w:w="1463"/>
        <w:gridCol w:w="2927"/>
        <w:gridCol w:w="3136"/>
        <w:gridCol w:w="2614"/>
        <w:gridCol w:w="2509"/>
        <w:gridCol w:w="3346"/>
      </w:tblGrid>
      <w:tr w:rsidR="00A35ED7" w:rsidRPr="00A35ED7" w:rsidTr="00A35ED7">
        <w:trPr>
          <w:trHeight w:val="873"/>
        </w:trPr>
        <w:tc>
          <w:tcPr>
            <w:tcW w:w="3241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Drug</w:t>
            </w:r>
          </w:p>
        </w:tc>
        <w:tc>
          <w:tcPr>
            <w:tcW w:w="1463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Species</w:t>
            </w:r>
          </w:p>
        </w:tc>
        <w:tc>
          <w:tcPr>
            <w:tcW w:w="2927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Active Component(s)</w:t>
            </w:r>
          </w:p>
        </w:tc>
        <w:tc>
          <w:tcPr>
            <w:tcW w:w="3136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Indications</w:t>
            </w:r>
          </w:p>
        </w:tc>
        <w:tc>
          <w:tcPr>
            <w:tcW w:w="2614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Therapeutic Dose</w:t>
            </w:r>
          </w:p>
        </w:tc>
        <w:tc>
          <w:tcPr>
            <w:tcW w:w="2509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Contraindications</w:t>
            </w:r>
          </w:p>
        </w:tc>
        <w:tc>
          <w:tcPr>
            <w:tcW w:w="3346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Method of Use</w:t>
            </w:r>
          </w:p>
        </w:tc>
      </w:tr>
      <w:tr w:rsidR="00726764" w:rsidRPr="00A35ED7" w:rsidTr="00A35ED7">
        <w:trPr>
          <w:trHeight w:val="7142"/>
        </w:trPr>
        <w:tc>
          <w:tcPr>
            <w:tcW w:w="3241" w:type="dxa"/>
          </w:tcPr>
          <w:p w:rsidR="00726764" w:rsidRPr="00726764" w:rsidRDefault="00726764" w:rsidP="00726764">
            <w:pPr>
              <w:ind w:left="-108"/>
              <w:rPr>
                <w:rFonts w:cs="Times New Roman"/>
              </w:rPr>
            </w:pPr>
            <w:r w:rsidRPr="00726764">
              <w:rPr>
                <w:rFonts w:cs="Times New Roman"/>
              </w:rPr>
              <w:t>Dextrose 50%</w:t>
            </w:r>
          </w:p>
          <w:p w:rsidR="00726764" w:rsidRPr="00726764" w:rsidRDefault="00726764" w:rsidP="00726764">
            <w:pPr>
              <w:ind w:left="-108"/>
              <w:rPr>
                <w:rFonts w:cs="Times New Roman"/>
              </w:rPr>
            </w:pPr>
            <w:r w:rsidRPr="00726764">
              <w:rPr>
                <w:rFonts w:cs="Times New Roman"/>
                <w:noProof/>
              </w:rPr>
              <w:drawing>
                <wp:inline distT="0" distB="0" distL="0" distR="0" wp14:anchorId="0F739F0A" wp14:editId="61A90A7D">
                  <wp:extent cx="1869127" cy="2731325"/>
                  <wp:effectExtent l="19050" t="0" r="0" b="0"/>
                  <wp:docPr id="7" name="Picture 4" descr="E:\Dr. Diptee Introduction and Lab 1\las\Drugs\IMG_20180904_14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r. Diptee Introduction and Lab 1\las\Drugs\IMG_20180904_14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036" r="-254" b="30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39" cy="2737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726764" w:rsidRPr="00726764" w:rsidRDefault="00726764" w:rsidP="00726764">
            <w:r w:rsidRPr="00726764">
              <w:t>Cattle, Horses, Sheep, Swine</w:t>
            </w:r>
          </w:p>
        </w:tc>
        <w:tc>
          <w:tcPr>
            <w:tcW w:w="2927" w:type="dxa"/>
          </w:tcPr>
          <w:p w:rsidR="00726764" w:rsidRPr="00726764" w:rsidRDefault="00726764" w:rsidP="007267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 w:hanging="396"/>
              <w:rPr>
                <w:rFonts w:cs="Times New Roman"/>
              </w:rPr>
            </w:pPr>
            <w:r w:rsidRPr="00726764">
              <w:rPr>
                <w:rFonts w:cs="Times New Roman"/>
              </w:rPr>
              <w:t>Dextrose</w:t>
            </w:r>
          </w:p>
        </w:tc>
        <w:tc>
          <w:tcPr>
            <w:tcW w:w="3136" w:type="dxa"/>
          </w:tcPr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Treatment of insulin hypoglycemia (hyperinsulinemia or insulin shock) to restore blood</w:t>
            </w:r>
            <w:r>
              <w:rPr>
                <w:rFonts w:cs="Times New Roman"/>
              </w:rPr>
              <w:t xml:space="preserve"> </w:t>
            </w:r>
            <w:r w:rsidRPr="00726764">
              <w:rPr>
                <w:rFonts w:cs="Times New Roman"/>
              </w:rPr>
              <w:t>glucose levels.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The solution is also indicated, after dilution, for intravenous infusion as a source of carbohydrate calories in patients whose oral intake</w:t>
            </w:r>
            <w:r>
              <w:rPr>
                <w:rFonts w:cs="Times New Roman"/>
              </w:rPr>
              <w:t xml:space="preserve"> </w:t>
            </w:r>
            <w:r w:rsidRPr="00726764">
              <w:rPr>
                <w:rFonts w:cs="Times New Roman"/>
              </w:rPr>
              <w:t>is restricted or inadequate to maintain nutritional requirements. Slow infusion of hypertonic solutions is essential to insure proper</w:t>
            </w:r>
            <w:r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Pr="00726764">
              <w:rPr>
                <w:rFonts w:cs="Times New Roman"/>
              </w:rPr>
              <w:t>utilization of dextrose and avoid production of hyperglycemia.</w:t>
            </w:r>
          </w:p>
        </w:tc>
        <w:tc>
          <w:tcPr>
            <w:tcW w:w="2614" w:type="dxa"/>
          </w:tcPr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The maximum rate at which dextrose can be infused without producing glycosuria is 0.5 g/kg of body weight/hour. About 95% of the dextrose is retained when infused at a rate of 0.8 g/kg/hr.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In insulin-induced hypoglycemia, intravenous injection of 10 to 25 grams of dextrose (20 to 50 mL of 50% dextrose) is usually adequate. Repeated doses and supportive treatment may be required in severe cases.</w:t>
            </w:r>
          </w:p>
        </w:tc>
        <w:tc>
          <w:tcPr>
            <w:tcW w:w="2509" w:type="dxa"/>
          </w:tcPr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A concentrated dextrose solution should not be used when intracranial or intraspinal hemorrhage is present, nor in the presence of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delirium tremens if the patient is already dehydrated.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Dextrose injection without electrolytes should not be administered simultaneously with blood through the same infusion set because of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 xml:space="preserve">the possibility that </w:t>
            </w:r>
            <w:proofErr w:type="spellStart"/>
            <w:r w:rsidRPr="00726764">
              <w:rPr>
                <w:rFonts w:cs="Times New Roman"/>
              </w:rPr>
              <w:t>pseudoagglutination</w:t>
            </w:r>
            <w:proofErr w:type="spellEnd"/>
            <w:r w:rsidRPr="00726764">
              <w:rPr>
                <w:rFonts w:cs="Times New Roman"/>
              </w:rPr>
              <w:t xml:space="preserve"> of red cells may occur.</w:t>
            </w:r>
          </w:p>
        </w:tc>
        <w:tc>
          <w:tcPr>
            <w:tcW w:w="3346" w:type="dxa"/>
          </w:tcPr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For peripheral vein administration: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  <w:r w:rsidRPr="00726764">
              <w:rPr>
                <w:rFonts w:cs="Times New Roman"/>
              </w:rPr>
              <w:t>Injection of the solution should be made slowly.</w:t>
            </w:r>
          </w:p>
          <w:p w:rsidR="00726764" w:rsidRPr="00726764" w:rsidRDefault="00726764" w:rsidP="00726764">
            <w:pPr>
              <w:rPr>
                <w:rFonts w:cs="Times New Roman"/>
              </w:rPr>
            </w:pPr>
          </w:p>
        </w:tc>
      </w:tr>
    </w:tbl>
    <w:p w:rsidR="000B719E" w:rsidRPr="00726764" w:rsidRDefault="000B719E">
      <w:pPr>
        <w:rPr>
          <w:rFonts w:ascii="Cambria" w:hAnsi="Cambria"/>
        </w:rPr>
      </w:pPr>
    </w:p>
    <w:sectPr w:rsidR="000B719E" w:rsidRPr="00726764" w:rsidSect="00A35ED7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1D"/>
    <w:multiLevelType w:val="hybridMultilevel"/>
    <w:tmpl w:val="AC46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C38"/>
    <w:multiLevelType w:val="hybridMultilevel"/>
    <w:tmpl w:val="8B803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415E"/>
    <w:multiLevelType w:val="hybridMultilevel"/>
    <w:tmpl w:val="10481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7"/>
    <w:rsid w:val="000B719E"/>
    <w:rsid w:val="00726764"/>
    <w:rsid w:val="007F5BEF"/>
    <w:rsid w:val="00A35ED7"/>
    <w:rsid w:val="00A86339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BCC9"/>
  <w15:chartTrackingRefBased/>
  <w15:docId w15:val="{652CA865-114C-40EE-A066-BC84345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ED7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BEF"/>
    <w:pPr>
      <w:spacing w:before="0" w:after="200" w:line="276" w:lineRule="auto"/>
      <w:ind w:left="720"/>
      <w:contextualSpacing/>
      <w:jc w:val="left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2018-09-08T03:38:00Z</dcterms:created>
  <dcterms:modified xsi:type="dcterms:W3CDTF">2018-09-08T03:38:00Z</dcterms:modified>
</cp:coreProperties>
</file>