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48" w:rsidRDefault="00C76948" w:rsidP="006F6D5E">
      <w:pPr>
        <w:autoSpaceDE w:val="0"/>
        <w:autoSpaceDN w:val="0"/>
        <w:adjustRightInd w:val="0"/>
        <w:spacing w:after="0" w:line="240" w:lineRule="auto"/>
        <w:rPr>
          <w:rFonts w:asciiTheme="majorHAnsi" w:hAnsiTheme="majorHAnsi"/>
          <w:sz w:val="22"/>
          <w:szCs w:val="22"/>
        </w:rPr>
      </w:pPr>
    </w:p>
    <w:tbl>
      <w:tblPr>
        <w:tblStyle w:val="TableGrid"/>
        <w:tblW w:w="19407" w:type="dxa"/>
        <w:tblInd w:w="-252" w:type="dxa"/>
        <w:tblLayout w:type="fixed"/>
        <w:tblLook w:val="04A0" w:firstRow="1" w:lastRow="0" w:firstColumn="1" w:lastColumn="0" w:noHBand="0" w:noVBand="1"/>
      </w:tblPr>
      <w:tblGrid>
        <w:gridCol w:w="2949"/>
        <w:gridCol w:w="1046"/>
        <w:gridCol w:w="1945"/>
        <w:gridCol w:w="4410"/>
        <w:gridCol w:w="4410"/>
        <w:gridCol w:w="1902"/>
        <w:gridCol w:w="2745"/>
      </w:tblGrid>
      <w:tr w:rsidR="00472F96" w:rsidRPr="0011042D" w:rsidTr="00A1351A">
        <w:trPr>
          <w:trHeight w:val="736"/>
        </w:trPr>
        <w:tc>
          <w:tcPr>
            <w:tcW w:w="2949"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Drug</w:t>
            </w:r>
          </w:p>
        </w:tc>
        <w:tc>
          <w:tcPr>
            <w:tcW w:w="1046"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Species</w:t>
            </w:r>
          </w:p>
        </w:tc>
        <w:tc>
          <w:tcPr>
            <w:tcW w:w="1945"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Indications</w:t>
            </w:r>
          </w:p>
        </w:tc>
        <w:tc>
          <w:tcPr>
            <w:tcW w:w="4410"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Therapeutic Dose</w:t>
            </w:r>
          </w:p>
        </w:tc>
        <w:tc>
          <w:tcPr>
            <w:tcW w:w="4410"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Contraindications</w:t>
            </w:r>
          </w:p>
        </w:tc>
        <w:tc>
          <w:tcPr>
            <w:tcW w:w="1902"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Pharmacology</w:t>
            </w:r>
          </w:p>
        </w:tc>
        <w:tc>
          <w:tcPr>
            <w:tcW w:w="2745" w:type="dxa"/>
          </w:tcPr>
          <w:p w:rsidR="00472F96" w:rsidRPr="0011042D" w:rsidRDefault="00472F96" w:rsidP="00492E46">
            <w:pPr>
              <w:rPr>
                <w:rFonts w:asciiTheme="majorHAnsi" w:hAnsiTheme="majorHAnsi"/>
                <w:b/>
                <w:sz w:val="22"/>
                <w:szCs w:val="22"/>
              </w:rPr>
            </w:pPr>
            <w:r w:rsidRPr="0011042D">
              <w:rPr>
                <w:rFonts w:asciiTheme="majorHAnsi" w:hAnsiTheme="majorHAnsi"/>
                <w:b/>
                <w:sz w:val="22"/>
                <w:szCs w:val="22"/>
              </w:rPr>
              <w:t>Adverse Effects</w:t>
            </w:r>
          </w:p>
        </w:tc>
      </w:tr>
      <w:tr w:rsidR="00472F96" w:rsidRPr="0011042D" w:rsidTr="00A1351A">
        <w:trPr>
          <w:trHeight w:val="7155"/>
        </w:trPr>
        <w:tc>
          <w:tcPr>
            <w:tcW w:w="2949" w:type="dxa"/>
          </w:tcPr>
          <w:p w:rsidR="00472F96" w:rsidRDefault="00472F96" w:rsidP="00277F73">
            <w:r>
              <w:t>Thiopental/ Tiopental</w:t>
            </w:r>
            <w:r w:rsidRPr="0013423A">
              <w:rPr>
                <w:vertAlign w:val="superscript"/>
              </w:rPr>
              <w:t>®</w:t>
            </w:r>
            <w:r>
              <w:t xml:space="preserve"> 1g</w:t>
            </w:r>
          </w:p>
          <w:p w:rsidR="00472F96" w:rsidRDefault="00472F96" w:rsidP="00277F73">
            <w:pPr>
              <w:rPr>
                <w:rFonts w:ascii="Times New Roman" w:hAnsi="Times New Roman" w:cs="Times New Roman"/>
              </w:rPr>
            </w:pPr>
            <w:r w:rsidRPr="00277F73">
              <w:rPr>
                <w:rFonts w:ascii="Times New Roman" w:hAnsi="Times New Roman" w:cs="Times New Roman"/>
              </w:rPr>
              <w:t>(Thiopental Sodium)</w:t>
            </w:r>
          </w:p>
          <w:p w:rsidR="00472F96" w:rsidRPr="00277F73" w:rsidRDefault="00472F96" w:rsidP="00277F73">
            <w:pPr>
              <w:rPr>
                <w:rFonts w:ascii="Times New Roman" w:hAnsi="Times New Roman" w:cs="Times New Roman"/>
              </w:rPr>
            </w:pPr>
          </w:p>
          <w:p w:rsidR="00472F96" w:rsidRPr="00CB4909" w:rsidRDefault="00472F96" w:rsidP="00492E46">
            <w:pPr>
              <w:ind w:left="-108"/>
              <w:rPr>
                <w:rFonts w:asciiTheme="majorHAnsi" w:hAnsiTheme="majorHAnsi"/>
              </w:rPr>
            </w:pPr>
            <w:r>
              <w:rPr>
                <w:rFonts w:asciiTheme="majorHAnsi" w:hAnsiTheme="majorHAnsi"/>
                <w:noProof/>
                <w:lang w:val="en-US"/>
              </w:rPr>
              <w:drawing>
                <wp:inline distT="0" distB="0" distL="0" distR="0">
                  <wp:extent cx="1668258" cy="2814452"/>
                  <wp:effectExtent l="19050" t="0" r="8142" b="0"/>
                  <wp:docPr id="14" name="Picture 3" descr="E:\Dr. Diptee Introduction and Lab 1\las\Drugs\IMG_20180904_14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 Diptee Introduction and Lab 1\las\Drugs\IMG_20180904_145731.jpg"/>
                          <pic:cNvPicPr>
                            <a:picLocks noChangeAspect="1" noChangeArrowheads="1"/>
                          </pic:cNvPicPr>
                        </pic:nvPicPr>
                        <pic:blipFill>
                          <a:blip r:embed="rId7" cstate="print"/>
                          <a:srcRect l="41131" r="26685" b="26765"/>
                          <a:stretch>
                            <a:fillRect/>
                          </a:stretch>
                        </pic:blipFill>
                        <pic:spPr bwMode="auto">
                          <a:xfrm>
                            <a:off x="0" y="0"/>
                            <a:ext cx="1667023" cy="2812368"/>
                          </a:xfrm>
                          <a:prstGeom prst="rect">
                            <a:avLst/>
                          </a:prstGeom>
                          <a:noFill/>
                          <a:ln w="9525">
                            <a:noFill/>
                            <a:miter lim="800000"/>
                            <a:headEnd/>
                            <a:tailEnd/>
                          </a:ln>
                        </pic:spPr>
                      </pic:pic>
                    </a:graphicData>
                  </a:graphic>
                </wp:inline>
              </w:drawing>
            </w:r>
          </w:p>
        </w:tc>
        <w:tc>
          <w:tcPr>
            <w:tcW w:w="1046" w:type="dxa"/>
          </w:tcPr>
          <w:p w:rsidR="00472F96" w:rsidRPr="00CB4909" w:rsidRDefault="00472F96" w:rsidP="00492E46">
            <w:pPr>
              <w:rPr>
                <w:rFonts w:asciiTheme="majorHAnsi" w:hAnsiTheme="majorHAnsi"/>
              </w:rPr>
            </w:pPr>
            <w:r>
              <w:rPr>
                <w:rFonts w:asciiTheme="majorHAnsi" w:hAnsiTheme="majorHAnsi"/>
              </w:rPr>
              <w:t>Cattle, Horses, Sheep, Goats, Swine</w:t>
            </w:r>
          </w:p>
        </w:tc>
        <w:tc>
          <w:tcPr>
            <w:tcW w:w="1945" w:type="dxa"/>
          </w:tcPr>
          <w:p w:rsidR="00472F96" w:rsidRPr="00277F73" w:rsidRDefault="00472F96" w:rsidP="00277F73">
            <w:r w:rsidRPr="00277F73">
              <w:t>Because of their rapid action and short duration, the thiobarbiturates are</w:t>
            </w:r>
            <w:r>
              <w:t xml:space="preserve"> </w:t>
            </w:r>
            <w:r w:rsidRPr="00277F73">
              <w:t>excellent induction agents for general an</w:t>
            </w:r>
            <w:r w:rsidR="00997E64">
              <w:t>a</w:t>
            </w:r>
            <w:r w:rsidRPr="00277F73">
              <w:t>esthesia with other an</w:t>
            </w:r>
            <w:r w:rsidR="00997E64">
              <w:t>a</w:t>
            </w:r>
            <w:r w:rsidRPr="00277F73">
              <w:t>esthetics or as the sole an</w:t>
            </w:r>
            <w:r w:rsidR="00997E64">
              <w:t>a</w:t>
            </w:r>
            <w:r w:rsidRPr="00277F73">
              <w:t>esthetic</w:t>
            </w:r>
          </w:p>
          <w:p w:rsidR="00472F96" w:rsidRPr="00277F73" w:rsidRDefault="00472F96" w:rsidP="00277F73">
            <w:r w:rsidRPr="00277F73">
              <w:t>agent for very short procedures.</w:t>
            </w:r>
          </w:p>
        </w:tc>
        <w:tc>
          <w:tcPr>
            <w:tcW w:w="4410" w:type="dxa"/>
          </w:tcPr>
          <w:p w:rsidR="00472F96" w:rsidRPr="00472F96" w:rsidRDefault="00472F96" w:rsidP="00277F73">
            <w:pPr>
              <w:autoSpaceDE w:val="0"/>
              <w:autoSpaceDN w:val="0"/>
              <w:adjustRightInd w:val="0"/>
            </w:pPr>
            <w:r w:rsidRPr="00472F96">
              <w:t>Cattle:</w:t>
            </w:r>
          </w:p>
          <w:p w:rsidR="00472F96" w:rsidRPr="00472F96" w:rsidRDefault="00472F96" w:rsidP="00277F73">
            <w:pPr>
              <w:autoSpaceDE w:val="0"/>
              <w:autoSpaceDN w:val="0"/>
              <w:adjustRightInd w:val="0"/>
            </w:pPr>
            <w:r w:rsidRPr="00472F96">
              <w:t>8.14 - 15.4 mg/kg IV;</w:t>
            </w:r>
          </w:p>
          <w:p w:rsidR="00472F96" w:rsidRPr="00472F96" w:rsidRDefault="00472F96" w:rsidP="00277F73">
            <w:pPr>
              <w:autoSpaceDE w:val="0"/>
              <w:autoSpaceDN w:val="0"/>
              <w:adjustRightInd w:val="0"/>
            </w:pPr>
            <w:r w:rsidRPr="00472F96">
              <w:t>For unweaned calves from which food has been withheld for 6-12 hours: no more than 6.6 mg/kg IV for deep surgical an</w:t>
            </w:r>
            <w:r w:rsidR="00997E64">
              <w:t>a</w:t>
            </w:r>
            <w:r w:rsidRPr="00472F96">
              <w:t>esthesia</w:t>
            </w:r>
          </w:p>
          <w:p w:rsidR="00472F96" w:rsidRPr="00472F96" w:rsidRDefault="00472F96" w:rsidP="00277F73">
            <w:pPr>
              <w:autoSpaceDE w:val="0"/>
              <w:autoSpaceDN w:val="0"/>
              <w:adjustRightInd w:val="0"/>
            </w:pPr>
            <w:r w:rsidRPr="00472F96">
              <w:t>For calves under 2 weeks of age: 15 - 22 mg/kg IV slowly until complete muscular</w:t>
            </w:r>
            <w:r>
              <w:t xml:space="preserve"> </w:t>
            </w:r>
            <w:r w:rsidRPr="00472F96">
              <w:t>relaxation takes place, duration of an</w:t>
            </w:r>
            <w:r w:rsidR="00997E64">
              <w:t>a</w:t>
            </w:r>
            <w:r w:rsidRPr="00472F96">
              <w:t xml:space="preserve">esthesia usually lasts 10-12 minutes. </w:t>
            </w:r>
          </w:p>
          <w:p w:rsidR="00472F96" w:rsidRPr="00472F96" w:rsidRDefault="00472F96" w:rsidP="00277F73">
            <w:pPr>
              <w:autoSpaceDE w:val="0"/>
              <w:autoSpaceDN w:val="0"/>
              <w:adjustRightInd w:val="0"/>
            </w:pPr>
            <w:r w:rsidRPr="00472F96">
              <w:t xml:space="preserve">Horses: </w:t>
            </w:r>
          </w:p>
          <w:p w:rsidR="00472F96" w:rsidRPr="00472F96" w:rsidRDefault="00472F96" w:rsidP="00277F73">
            <w:pPr>
              <w:autoSpaceDE w:val="0"/>
              <w:autoSpaceDN w:val="0"/>
              <w:adjustRightInd w:val="0"/>
            </w:pPr>
            <w:r w:rsidRPr="00472F96">
              <w:t>With preanesthetic tranquilization: 6 - 12 mg/kg IV (an average of 8.25 mg/kg is</w:t>
            </w:r>
            <w:r>
              <w:t xml:space="preserve"> </w:t>
            </w:r>
            <w:r w:rsidRPr="00472F96">
              <w:t>recommended); Without preanesthetic tranquilization: 8.8-15.4 mg/kg IV (an average</w:t>
            </w:r>
            <w:r>
              <w:t xml:space="preserve"> </w:t>
            </w:r>
            <w:r w:rsidRPr="00472F96">
              <w:t xml:space="preserve">horse: 9.9 - 11 mg/kg IV) </w:t>
            </w:r>
          </w:p>
          <w:p w:rsidR="00472F96" w:rsidRPr="00472F96" w:rsidRDefault="00472F96" w:rsidP="00277F73">
            <w:pPr>
              <w:autoSpaceDE w:val="0"/>
              <w:autoSpaceDN w:val="0"/>
              <w:adjustRightInd w:val="0"/>
            </w:pPr>
            <w:r w:rsidRPr="00472F96">
              <w:t>One gram of thiopental per 90 kg body weight as a 10% solution given evenly over</w:t>
            </w:r>
            <w:r>
              <w:t xml:space="preserve"> </w:t>
            </w:r>
            <w:r w:rsidRPr="00472F96">
              <w:t>20 seconds 15 minutes after premedication with either 0.22 mg/kg IV xylazine or</w:t>
            </w:r>
            <w:r>
              <w:t xml:space="preserve"> </w:t>
            </w:r>
            <w:r w:rsidRPr="00472F96">
              <w:t xml:space="preserve">0.05 mg/kg IV acepromazine. </w:t>
            </w:r>
          </w:p>
          <w:p w:rsidR="00472F96" w:rsidRPr="00472F96" w:rsidRDefault="00472F96" w:rsidP="00277F73">
            <w:pPr>
              <w:autoSpaceDE w:val="0"/>
              <w:autoSpaceDN w:val="0"/>
              <w:adjustRightInd w:val="0"/>
            </w:pPr>
            <w:r w:rsidRPr="00472F96">
              <w:t xml:space="preserve"> 5.5 mg/kg IV after sedation and administration with guaifenesin; or 8.8 - 11 mg/kg IV after tranquilization. </w:t>
            </w:r>
          </w:p>
          <w:p w:rsidR="00472F96" w:rsidRPr="00472F96" w:rsidRDefault="00472F96" w:rsidP="00277F73">
            <w:pPr>
              <w:autoSpaceDE w:val="0"/>
              <w:autoSpaceDN w:val="0"/>
              <w:adjustRightInd w:val="0"/>
            </w:pPr>
            <w:r w:rsidRPr="00472F96">
              <w:t>Swine:</w:t>
            </w:r>
          </w:p>
          <w:p w:rsidR="00472F96" w:rsidRPr="00472F96" w:rsidRDefault="00472F96" w:rsidP="00277F73">
            <w:pPr>
              <w:autoSpaceDE w:val="0"/>
              <w:autoSpaceDN w:val="0"/>
              <w:adjustRightInd w:val="0"/>
            </w:pPr>
            <w:r w:rsidRPr="00472F96">
              <w:t xml:space="preserve"> 5.5 - 11 mg/kg IV </w:t>
            </w:r>
          </w:p>
          <w:p w:rsidR="00472F96" w:rsidRPr="00472F96" w:rsidRDefault="00472F96" w:rsidP="00277F73">
            <w:pPr>
              <w:autoSpaceDE w:val="0"/>
              <w:autoSpaceDN w:val="0"/>
              <w:adjustRightInd w:val="0"/>
            </w:pPr>
            <w:r w:rsidRPr="00472F96">
              <w:t xml:space="preserve"> For swine weighing 5 - 50 kg: 10 - 11 mg/kg IV </w:t>
            </w:r>
          </w:p>
          <w:p w:rsidR="00472F96" w:rsidRPr="00472F96" w:rsidRDefault="00472F96" w:rsidP="00277F73">
            <w:pPr>
              <w:autoSpaceDE w:val="0"/>
              <w:autoSpaceDN w:val="0"/>
              <w:adjustRightInd w:val="0"/>
            </w:pPr>
            <w:r w:rsidRPr="00472F96">
              <w:t>Sheep:</w:t>
            </w:r>
          </w:p>
          <w:p w:rsidR="00472F96" w:rsidRPr="00472F96" w:rsidRDefault="00472F96" w:rsidP="00277F73">
            <w:pPr>
              <w:autoSpaceDE w:val="0"/>
              <w:autoSpaceDN w:val="0"/>
              <w:adjustRightInd w:val="0"/>
            </w:pPr>
            <w:r w:rsidRPr="00472F96">
              <w:t xml:space="preserve">9.9 - 15 mg/kg IV depending on depth of anesthesia required </w:t>
            </w:r>
          </w:p>
          <w:p w:rsidR="00472F96" w:rsidRPr="00472F96" w:rsidRDefault="00472F96" w:rsidP="00277F73">
            <w:pPr>
              <w:autoSpaceDE w:val="0"/>
              <w:autoSpaceDN w:val="0"/>
              <w:adjustRightInd w:val="0"/>
            </w:pPr>
            <w:r w:rsidRPr="00472F96">
              <w:t>Goats:</w:t>
            </w:r>
          </w:p>
          <w:p w:rsidR="00472F96" w:rsidRPr="00277F73" w:rsidRDefault="00472F96" w:rsidP="00277F73">
            <w:r w:rsidRPr="00472F96">
              <w:t>a) 20 - 22 mg/kg IV after atropine (0.7 mg/kg) IM</w:t>
            </w:r>
          </w:p>
        </w:tc>
        <w:tc>
          <w:tcPr>
            <w:tcW w:w="4410" w:type="dxa"/>
          </w:tcPr>
          <w:p w:rsidR="00472F96" w:rsidRPr="00277F73" w:rsidRDefault="00472F96" w:rsidP="00277F73">
            <w:r w:rsidRPr="00277F73">
              <w:t>Absence of suitable veins for IV administration, history of</w:t>
            </w:r>
          </w:p>
          <w:p w:rsidR="00472F96" w:rsidRPr="00277F73" w:rsidRDefault="00472F96" w:rsidP="00277F73">
            <w:r w:rsidRPr="00277F73">
              <w:t>hypersensitivity reactions to the barbiturates, and status asthmaticus. Relative contraindications</w:t>
            </w:r>
          </w:p>
          <w:p w:rsidR="00472F96" w:rsidRPr="00277F73" w:rsidRDefault="00472F96" w:rsidP="00277F73">
            <w:r w:rsidRPr="00277F73">
              <w:t>include: severe cardiovascular disease or preexisting ventricular arrhythmias, shock, increased intracranial pressure, myasthenia gravis, asthma, and conditions where hypnotic effects may be prolonged (e.g., severe hepatic disease, myxedema, severe anemia, excessive premedication,</w:t>
            </w:r>
          </w:p>
          <w:p w:rsidR="00472F96" w:rsidRPr="00277F73" w:rsidRDefault="00472F96" w:rsidP="00277F73">
            <w:r w:rsidRPr="00277F73">
              <w:t>etc). These relative contraindications do not preclude the use of thiopental, but dosage</w:t>
            </w:r>
            <w:r w:rsidR="00A1351A">
              <w:t xml:space="preserve"> </w:t>
            </w:r>
            <w:r w:rsidRPr="00277F73">
              <w:t>adjustments must be considered and the drug must be given slowly and cautiously.</w:t>
            </w:r>
          </w:p>
          <w:p w:rsidR="00472F96" w:rsidRPr="00277F73" w:rsidRDefault="00472F96" w:rsidP="00277F73">
            <w:r w:rsidRPr="00277F73">
              <w:t>Thiopental readily crosses the placental barrier and should be used with caution during</w:t>
            </w:r>
            <w:r w:rsidR="00A1351A">
              <w:t xml:space="preserve"> </w:t>
            </w:r>
            <w:r w:rsidRPr="00277F73">
              <w:t>pregnancy.</w:t>
            </w:r>
          </w:p>
          <w:p w:rsidR="00472F96" w:rsidRPr="00277F73" w:rsidRDefault="00472F96" w:rsidP="00277F73">
            <w:r w:rsidRPr="00277F73">
              <w:t>In horses, thiopental should not be used if the patient has preexisting leukopenia. Some</w:t>
            </w:r>
            <w:r w:rsidR="00A1351A">
              <w:t xml:space="preserve"> </w:t>
            </w:r>
            <w:r w:rsidRPr="00277F73">
              <w:t>clinicians feel that thiopental should not be used alone in the horse as it may cause excessive ataxia and excitement.</w:t>
            </w:r>
          </w:p>
          <w:p w:rsidR="00472F96" w:rsidRPr="00277F73" w:rsidRDefault="00472F96" w:rsidP="00277F73">
            <w:r w:rsidRPr="00277F73">
              <w:t>Concentrations of less than 2% in sterile water should not be used as they may cause hemolysis.</w:t>
            </w:r>
          </w:p>
          <w:p w:rsidR="00472F96" w:rsidRPr="00277F73" w:rsidRDefault="00472F96" w:rsidP="00277F73">
            <w:r w:rsidRPr="00277F73">
              <w:t>Extravasation and intra-arterial injections should be avoided because of the high alkalinity of the</w:t>
            </w:r>
          </w:p>
          <w:p w:rsidR="00472F96" w:rsidRPr="00277F73" w:rsidRDefault="00472F96" w:rsidP="00277F73">
            <w:r w:rsidRPr="00277F73">
              <w:t>solution. Severe CNS toxicity and tissue damage has resulted in horses receiving intra-carotid injections of thiobarbiturates.</w:t>
            </w:r>
          </w:p>
        </w:tc>
        <w:tc>
          <w:tcPr>
            <w:tcW w:w="1902" w:type="dxa"/>
          </w:tcPr>
          <w:p w:rsidR="00472F96" w:rsidRPr="00277F73" w:rsidRDefault="00472F96" w:rsidP="00277F73">
            <w:r w:rsidRPr="00277F73">
              <w:t>Because of their high lipid solubility, thiobarbiturates rapidly enter the CNS</w:t>
            </w:r>
          </w:p>
          <w:p w:rsidR="00472F96" w:rsidRPr="00277F73" w:rsidRDefault="00472F96" w:rsidP="00277F73">
            <w:r w:rsidRPr="00277F73">
              <w:t>and produce profound hypnosis and anesthesia. They are also known as ultrashort-acting</w:t>
            </w:r>
          </w:p>
          <w:p w:rsidR="00472F96" w:rsidRPr="00277F73" w:rsidRDefault="00472F96" w:rsidP="00277F73">
            <w:r w:rsidRPr="00277F73">
              <w:t xml:space="preserve">barbiturates. </w:t>
            </w:r>
          </w:p>
        </w:tc>
        <w:tc>
          <w:tcPr>
            <w:tcW w:w="2745" w:type="dxa"/>
          </w:tcPr>
          <w:p w:rsidR="00472F96" w:rsidRPr="00277F73" w:rsidRDefault="00472F96" w:rsidP="00277F73">
            <w:pPr>
              <w:autoSpaceDE w:val="0"/>
              <w:autoSpaceDN w:val="0"/>
              <w:adjustRightInd w:val="0"/>
            </w:pPr>
            <w:r w:rsidRPr="00277F73">
              <w:t>Horses can exhibit symptoms of excitement and severe ataxia during the recovery period if the</w:t>
            </w:r>
            <w:r w:rsidR="00997E64">
              <w:t xml:space="preserve"> </w:t>
            </w:r>
            <w:r w:rsidRPr="00277F73">
              <w:t>drug is used alone. Horses also can develop transient leukopenias and hyperglycemia after</w:t>
            </w:r>
          </w:p>
          <w:p w:rsidR="00472F96" w:rsidRPr="00277F73" w:rsidRDefault="00472F96" w:rsidP="00277F73">
            <w:pPr>
              <w:autoSpaceDE w:val="0"/>
              <w:autoSpaceDN w:val="0"/>
              <w:adjustRightInd w:val="0"/>
            </w:pPr>
            <w:r w:rsidRPr="00277F73">
              <w:t>administration. A period of apnea and moderate tachycardia and a mild respiratory acidosis may</w:t>
            </w:r>
            <w:r w:rsidR="00997E64">
              <w:t xml:space="preserve"> </w:t>
            </w:r>
            <w:bookmarkStart w:id="0" w:name="_GoBack"/>
            <w:bookmarkEnd w:id="0"/>
            <w:r w:rsidRPr="00277F73">
              <w:t>also develop after dosing.</w:t>
            </w:r>
          </w:p>
          <w:p w:rsidR="00472F96" w:rsidRPr="00277F73" w:rsidRDefault="00472F96" w:rsidP="00277F73">
            <w:pPr>
              <w:autoSpaceDE w:val="0"/>
              <w:autoSpaceDN w:val="0"/>
              <w:adjustRightInd w:val="0"/>
            </w:pPr>
            <w:r w:rsidRPr="00277F73">
              <w:t>Too rapid IV administration can cause significant vascular dilatation and hypoglycemia.</w:t>
            </w:r>
          </w:p>
          <w:p w:rsidR="00472F96" w:rsidRPr="00277F73" w:rsidRDefault="00472F96" w:rsidP="00277F73">
            <w:pPr>
              <w:autoSpaceDE w:val="0"/>
              <w:autoSpaceDN w:val="0"/>
              <w:adjustRightInd w:val="0"/>
            </w:pPr>
            <w:r w:rsidRPr="00277F73">
              <w:t>Repeated administration of thiopental is not advised as recovery times can become significantly</w:t>
            </w:r>
          </w:p>
          <w:p w:rsidR="00472F96" w:rsidRPr="00277F73" w:rsidRDefault="00472F96" w:rsidP="00277F73">
            <w:pPr>
              <w:autoSpaceDE w:val="0"/>
              <w:autoSpaceDN w:val="0"/>
              <w:adjustRightInd w:val="0"/>
            </w:pPr>
            <w:r w:rsidRPr="00277F73">
              <w:t>prolonged. Parasympathetic side effects (e.g., salivation, bradycardia) may be managed with the</w:t>
            </w:r>
          </w:p>
          <w:p w:rsidR="00472F96" w:rsidRPr="00277F73" w:rsidRDefault="00472F96" w:rsidP="00277F73">
            <w:pPr>
              <w:autoSpaceDE w:val="0"/>
              <w:autoSpaceDN w:val="0"/>
              <w:adjustRightInd w:val="0"/>
            </w:pPr>
            <w:r w:rsidRPr="00277F73">
              <w:t>use of anticholinergic agents (atropine, glycopyrrolate).</w:t>
            </w:r>
          </w:p>
          <w:p w:rsidR="00472F96" w:rsidRPr="00CB4909" w:rsidRDefault="00472F96" w:rsidP="00277F73">
            <w:pPr>
              <w:autoSpaceDE w:val="0"/>
              <w:autoSpaceDN w:val="0"/>
              <w:adjustRightInd w:val="0"/>
              <w:rPr>
                <w:rFonts w:asciiTheme="majorHAnsi" w:hAnsiTheme="majorHAnsi" w:cs="Times-Roman"/>
                <w:lang w:val="en-US"/>
              </w:rPr>
            </w:pPr>
          </w:p>
        </w:tc>
      </w:tr>
    </w:tbl>
    <w:p w:rsidR="00BF6243" w:rsidRPr="0011042D" w:rsidRDefault="00BF6243" w:rsidP="00472F96">
      <w:pPr>
        <w:autoSpaceDE w:val="0"/>
        <w:autoSpaceDN w:val="0"/>
        <w:adjustRightInd w:val="0"/>
        <w:spacing w:after="0" w:line="240" w:lineRule="auto"/>
        <w:rPr>
          <w:rFonts w:asciiTheme="majorHAnsi" w:hAnsiTheme="majorHAnsi"/>
          <w:sz w:val="22"/>
          <w:szCs w:val="22"/>
        </w:rPr>
      </w:pPr>
    </w:p>
    <w:sectPr w:rsidR="00BF6243" w:rsidRPr="0011042D" w:rsidSect="00A1351A">
      <w:pgSz w:w="20160" w:h="12240" w:orient="landscape" w:code="5"/>
      <w:pgMar w:top="170" w:right="720" w:bottom="9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0A" w:rsidRDefault="00313D0A" w:rsidP="001E569D">
      <w:pPr>
        <w:spacing w:after="0" w:line="240" w:lineRule="auto"/>
      </w:pPr>
      <w:r>
        <w:separator/>
      </w:r>
    </w:p>
  </w:endnote>
  <w:endnote w:type="continuationSeparator" w:id="0">
    <w:p w:rsidR="00313D0A" w:rsidRDefault="00313D0A" w:rsidP="001E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0A" w:rsidRDefault="00313D0A" w:rsidP="001E569D">
      <w:pPr>
        <w:spacing w:after="0" w:line="240" w:lineRule="auto"/>
      </w:pPr>
      <w:r>
        <w:separator/>
      </w:r>
    </w:p>
  </w:footnote>
  <w:footnote w:type="continuationSeparator" w:id="0">
    <w:p w:rsidR="00313D0A" w:rsidRDefault="00313D0A" w:rsidP="001E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39FD"/>
    <w:multiLevelType w:val="hybridMultilevel"/>
    <w:tmpl w:val="DD72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936F2"/>
    <w:multiLevelType w:val="hybridMultilevel"/>
    <w:tmpl w:val="BEB84560"/>
    <w:lvl w:ilvl="0" w:tplc="DA964D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A7432"/>
    <w:multiLevelType w:val="hybridMultilevel"/>
    <w:tmpl w:val="55505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1616"/>
    <w:multiLevelType w:val="hybridMultilevel"/>
    <w:tmpl w:val="9C26F350"/>
    <w:lvl w:ilvl="0" w:tplc="74848C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326E"/>
    <w:multiLevelType w:val="hybridMultilevel"/>
    <w:tmpl w:val="86EE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DD1"/>
    <w:rsid w:val="00027497"/>
    <w:rsid w:val="00073CE6"/>
    <w:rsid w:val="00105717"/>
    <w:rsid w:val="0011042D"/>
    <w:rsid w:val="00160567"/>
    <w:rsid w:val="001E0472"/>
    <w:rsid w:val="001E569D"/>
    <w:rsid w:val="001F527C"/>
    <w:rsid w:val="00242B84"/>
    <w:rsid w:val="00277F73"/>
    <w:rsid w:val="002D3F3E"/>
    <w:rsid w:val="00313D0A"/>
    <w:rsid w:val="0033317B"/>
    <w:rsid w:val="003F2670"/>
    <w:rsid w:val="004505D1"/>
    <w:rsid w:val="00472F96"/>
    <w:rsid w:val="005A6BDF"/>
    <w:rsid w:val="006D0689"/>
    <w:rsid w:val="006F6D5E"/>
    <w:rsid w:val="007D44F1"/>
    <w:rsid w:val="00882DD1"/>
    <w:rsid w:val="00892D2F"/>
    <w:rsid w:val="008951A3"/>
    <w:rsid w:val="008A41D5"/>
    <w:rsid w:val="008C755F"/>
    <w:rsid w:val="0093134A"/>
    <w:rsid w:val="00970CAA"/>
    <w:rsid w:val="00997E64"/>
    <w:rsid w:val="00A1351A"/>
    <w:rsid w:val="00AA02F6"/>
    <w:rsid w:val="00AD7CE2"/>
    <w:rsid w:val="00BF6243"/>
    <w:rsid w:val="00C76948"/>
    <w:rsid w:val="00CB4909"/>
    <w:rsid w:val="00D864FA"/>
    <w:rsid w:val="00E9329D"/>
    <w:rsid w:val="00ED0441"/>
    <w:rsid w:val="00EF14B5"/>
    <w:rsid w:val="00F246E5"/>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3D1F"/>
  <w15:docId w15:val="{6BD5BB19-F083-4D73-838E-C26283A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41"/>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D1"/>
    <w:rPr>
      <w:rFonts w:ascii="Tahoma" w:hAnsi="Tahoma" w:cs="Tahoma"/>
      <w:sz w:val="16"/>
      <w:szCs w:val="16"/>
      <w:lang w:val="en-TT"/>
    </w:rPr>
  </w:style>
  <w:style w:type="paragraph" w:styleId="NormalWeb">
    <w:name w:val="Normal (Web)"/>
    <w:basedOn w:val="Normal"/>
    <w:uiPriority w:val="99"/>
    <w:unhideWhenUsed/>
    <w:rsid w:val="00882DD1"/>
    <w:pPr>
      <w:spacing w:before="100" w:beforeAutospacing="1" w:after="100" w:afterAutospacing="1" w:line="240" w:lineRule="auto"/>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1E5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69D"/>
    <w:rPr>
      <w:lang w:val="en-TT"/>
    </w:rPr>
  </w:style>
  <w:style w:type="paragraph" w:styleId="Footer">
    <w:name w:val="footer"/>
    <w:basedOn w:val="Normal"/>
    <w:link w:val="FooterChar"/>
    <w:uiPriority w:val="99"/>
    <w:semiHidden/>
    <w:unhideWhenUsed/>
    <w:rsid w:val="001E5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9D"/>
    <w:rPr>
      <w:lang w:val="en-TT"/>
    </w:rPr>
  </w:style>
  <w:style w:type="paragraph" w:styleId="ListParagraph">
    <w:name w:val="List Paragraph"/>
    <w:basedOn w:val="Normal"/>
    <w:uiPriority w:val="34"/>
    <w:qFormat/>
    <w:rsid w:val="006F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2084">
      <w:bodyDiv w:val="1"/>
      <w:marLeft w:val="0"/>
      <w:marRight w:val="0"/>
      <w:marTop w:val="0"/>
      <w:marBottom w:val="0"/>
      <w:divBdr>
        <w:top w:val="none" w:sz="0" w:space="0" w:color="auto"/>
        <w:left w:val="none" w:sz="0" w:space="0" w:color="auto"/>
        <w:bottom w:val="none" w:sz="0" w:space="0" w:color="auto"/>
        <w:right w:val="none" w:sz="0" w:space="0" w:color="auto"/>
      </w:divBdr>
    </w:div>
    <w:div w:id="20021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Maharaj</dc:creator>
  <cp:lastModifiedBy>Krystal Maharaj</cp:lastModifiedBy>
  <cp:revision>4</cp:revision>
  <dcterms:created xsi:type="dcterms:W3CDTF">2018-09-08T04:10:00Z</dcterms:created>
  <dcterms:modified xsi:type="dcterms:W3CDTF">2018-09-08T08:00:00Z</dcterms:modified>
</cp:coreProperties>
</file>