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9900" w:type="dxa"/>
        <w:tblInd w:w="-572" w:type="dxa"/>
        <w:tblLayout w:type="fixed"/>
        <w:tblLook w:val="04A0" w:firstRow="1" w:lastRow="0" w:firstColumn="1" w:lastColumn="0" w:noHBand="0" w:noVBand="1"/>
      </w:tblPr>
      <w:tblGrid>
        <w:gridCol w:w="3099"/>
        <w:gridCol w:w="1059"/>
        <w:gridCol w:w="2090"/>
        <w:gridCol w:w="2131"/>
        <w:gridCol w:w="1704"/>
        <w:gridCol w:w="2131"/>
        <w:gridCol w:w="3857"/>
        <w:gridCol w:w="3829"/>
      </w:tblGrid>
      <w:tr w:rsidR="00B51981" w:rsidRPr="00B51981" w:rsidTr="00B51981">
        <w:trPr>
          <w:trHeight w:val="285"/>
        </w:trPr>
        <w:tc>
          <w:tcPr>
            <w:tcW w:w="3099" w:type="dxa"/>
          </w:tcPr>
          <w:p w:rsidR="00B51981" w:rsidRPr="00642D7C" w:rsidRDefault="00B51981" w:rsidP="00F85B1F">
            <w:pPr>
              <w:rPr>
                <w:rFonts w:eastAsia="Calibri" w:cs="Times New Roman"/>
                <w:b/>
                <w:sz w:val="22"/>
                <w:szCs w:val="22"/>
                <w:lang w:val="en-TT"/>
              </w:rPr>
            </w:pPr>
            <w:r w:rsidRPr="00642D7C">
              <w:rPr>
                <w:rFonts w:eastAsia="Calibri" w:cs="Times New Roman"/>
                <w:b/>
                <w:sz w:val="22"/>
                <w:szCs w:val="22"/>
                <w:lang w:val="en-TT"/>
              </w:rPr>
              <w:t>Drug</w:t>
            </w:r>
          </w:p>
        </w:tc>
        <w:tc>
          <w:tcPr>
            <w:tcW w:w="1059" w:type="dxa"/>
          </w:tcPr>
          <w:p w:rsidR="00B51981" w:rsidRPr="00642D7C" w:rsidRDefault="00B51981" w:rsidP="00F85B1F">
            <w:pPr>
              <w:rPr>
                <w:rFonts w:eastAsia="Calibri" w:cs="Times New Roman"/>
                <w:b/>
                <w:sz w:val="22"/>
                <w:szCs w:val="22"/>
                <w:lang w:val="en-TT"/>
              </w:rPr>
            </w:pPr>
            <w:r w:rsidRPr="00642D7C">
              <w:rPr>
                <w:rFonts w:eastAsia="Calibri" w:cs="Times New Roman"/>
                <w:b/>
                <w:sz w:val="22"/>
                <w:szCs w:val="22"/>
                <w:lang w:val="en-TT"/>
              </w:rPr>
              <w:t>Species</w:t>
            </w:r>
          </w:p>
        </w:tc>
        <w:tc>
          <w:tcPr>
            <w:tcW w:w="2090" w:type="dxa"/>
          </w:tcPr>
          <w:p w:rsidR="00B51981" w:rsidRPr="00642D7C" w:rsidRDefault="00B51981" w:rsidP="00F85B1F">
            <w:pPr>
              <w:rPr>
                <w:rFonts w:eastAsia="Calibri" w:cs="Times New Roman"/>
                <w:b/>
                <w:sz w:val="22"/>
                <w:szCs w:val="22"/>
                <w:lang w:val="en-TT"/>
              </w:rPr>
            </w:pPr>
            <w:r w:rsidRPr="00642D7C">
              <w:rPr>
                <w:rFonts w:eastAsia="Calibri" w:cs="Times New Roman"/>
                <w:b/>
                <w:sz w:val="22"/>
                <w:szCs w:val="22"/>
                <w:lang w:val="en-TT"/>
              </w:rPr>
              <w:t>Indications</w:t>
            </w:r>
          </w:p>
        </w:tc>
        <w:tc>
          <w:tcPr>
            <w:tcW w:w="2131" w:type="dxa"/>
          </w:tcPr>
          <w:p w:rsidR="00B51981" w:rsidRPr="00642D7C" w:rsidRDefault="00B51981" w:rsidP="00F85B1F">
            <w:pPr>
              <w:rPr>
                <w:rFonts w:eastAsia="Calibri" w:cs="Times New Roman"/>
                <w:b/>
                <w:sz w:val="22"/>
                <w:szCs w:val="22"/>
                <w:lang w:val="en-TT"/>
              </w:rPr>
            </w:pPr>
            <w:r w:rsidRPr="00642D7C">
              <w:rPr>
                <w:rFonts w:eastAsia="Calibri" w:cs="Times New Roman"/>
                <w:b/>
                <w:sz w:val="22"/>
                <w:szCs w:val="22"/>
                <w:lang w:val="en-TT"/>
              </w:rPr>
              <w:t>Therapeutic Dose</w:t>
            </w:r>
          </w:p>
        </w:tc>
        <w:tc>
          <w:tcPr>
            <w:tcW w:w="1704" w:type="dxa"/>
          </w:tcPr>
          <w:p w:rsidR="00B51981" w:rsidRPr="00642D7C" w:rsidRDefault="00B51981" w:rsidP="00F85B1F">
            <w:pPr>
              <w:rPr>
                <w:rFonts w:eastAsia="Calibri" w:cs="Times New Roman"/>
                <w:b/>
                <w:sz w:val="22"/>
                <w:szCs w:val="22"/>
                <w:lang w:val="en-TT"/>
              </w:rPr>
            </w:pPr>
            <w:r w:rsidRPr="00642D7C">
              <w:rPr>
                <w:rFonts w:eastAsia="Calibri" w:cs="Times New Roman"/>
                <w:b/>
                <w:sz w:val="22"/>
                <w:szCs w:val="22"/>
                <w:lang w:val="en-TT"/>
              </w:rPr>
              <w:t>Lethal Dose/ Toxicity</w:t>
            </w:r>
          </w:p>
        </w:tc>
        <w:tc>
          <w:tcPr>
            <w:tcW w:w="2131" w:type="dxa"/>
          </w:tcPr>
          <w:p w:rsidR="00B51981" w:rsidRPr="00642D7C" w:rsidRDefault="00B51981" w:rsidP="00F85B1F">
            <w:pPr>
              <w:rPr>
                <w:rFonts w:eastAsia="Calibri" w:cs="Times New Roman"/>
                <w:b/>
                <w:sz w:val="22"/>
                <w:szCs w:val="22"/>
                <w:lang w:val="en-TT"/>
              </w:rPr>
            </w:pPr>
            <w:r w:rsidRPr="00642D7C">
              <w:rPr>
                <w:rFonts w:eastAsia="Calibri" w:cs="Times New Roman"/>
                <w:b/>
                <w:sz w:val="22"/>
                <w:szCs w:val="22"/>
                <w:lang w:val="en-TT"/>
              </w:rPr>
              <w:t>Contraindications</w:t>
            </w:r>
          </w:p>
        </w:tc>
        <w:tc>
          <w:tcPr>
            <w:tcW w:w="3857" w:type="dxa"/>
          </w:tcPr>
          <w:p w:rsidR="00B51981" w:rsidRPr="00642D7C" w:rsidRDefault="00B51981" w:rsidP="00F85B1F">
            <w:pPr>
              <w:rPr>
                <w:rFonts w:eastAsia="Calibri" w:cs="Times New Roman"/>
                <w:b/>
                <w:sz w:val="22"/>
                <w:szCs w:val="22"/>
                <w:lang w:val="en-TT"/>
              </w:rPr>
            </w:pPr>
            <w:r w:rsidRPr="00642D7C">
              <w:rPr>
                <w:rFonts w:eastAsia="Calibri" w:cs="Times New Roman"/>
                <w:b/>
                <w:sz w:val="22"/>
                <w:szCs w:val="22"/>
                <w:lang w:val="en-TT"/>
              </w:rPr>
              <w:t>Pharmacology</w:t>
            </w:r>
          </w:p>
        </w:tc>
        <w:tc>
          <w:tcPr>
            <w:tcW w:w="3829" w:type="dxa"/>
          </w:tcPr>
          <w:p w:rsidR="00B51981" w:rsidRPr="00642D7C" w:rsidRDefault="00B51981" w:rsidP="00F85B1F">
            <w:pPr>
              <w:rPr>
                <w:rFonts w:eastAsia="Calibri" w:cs="Times New Roman"/>
                <w:b/>
                <w:sz w:val="22"/>
                <w:szCs w:val="22"/>
                <w:lang w:val="en-TT"/>
              </w:rPr>
            </w:pPr>
            <w:r w:rsidRPr="00642D7C">
              <w:rPr>
                <w:rFonts w:eastAsia="Calibri" w:cs="Times New Roman"/>
                <w:b/>
                <w:sz w:val="22"/>
                <w:szCs w:val="22"/>
                <w:lang w:val="en-TT"/>
              </w:rPr>
              <w:t>Adverse Effects</w:t>
            </w:r>
          </w:p>
        </w:tc>
      </w:tr>
      <w:tr w:rsidR="00B51981" w:rsidRPr="00B51981" w:rsidTr="00B51981">
        <w:trPr>
          <w:trHeight w:val="7364"/>
        </w:trPr>
        <w:tc>
          <w:tcPr>
            <w:tcW w:w="3099" w:type="dxa"/>
          </w:tcPr>
          <w:p w:rsidR="00B51981" w:rsidRPr="00B51981" w:rsidRDefault="00B51981" w:rsidP="00B51981">
            <w:pPr>
              <w:ind w:left="-108"/>
              <w:rPr>
                <w:sz w:val="22"/>
                <w:szCs w:val="22"/>
              </w:rPr>
            </w:pPr>
            <w:r w:rsidRPr="00B51981">
              <w:rPr>
                <w:sz w:val="22"/>
                <w:szCs w:val="22"/>
              </w:rPr>
              <w:t>Natrium Pentobarbital 20%</w:t>
            </w:r>
          </w:p>
          <w:p w:rsidR="00B51981" w:rsidRPr="00B51981" w:rsidRDefault="00B51981" w:rsidP="00B51981">
            <w:pPr>
              <w:ind w:left="-108"/>
              <w:rPr>
                <w:sz w:val="22"/>
                <w:szCs w:val="22"/>
              </w:rPr>
            </w:pPr>
            <w:r w:rsidRPr="00B51981">
              <w:rPr>
                <w:noProof/>
                <w:sz w:val="22"/>
                <w:szCs w:val="22"/>
              </w:rPr>
              <w:drawing>
                <wp:inline distT="0" distB="0" distL="0" distR="0" wp14:anchorId="7AFF4CF3" wp14:editId="2F380342">
                  <wp:extent cx="1667246" cy="2560399"/>
                  <wp:effectExtent l="19050" t="0" r="9154" b="0"/>
                  <wp:docPr id="6" name="Picture 4" descr="E:\Dr. Diptee Introduction and Lab 1\las\Drugs\IMG_20180904_144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r. Diptee Introduction and Lab 1\las\Drugs\IMG_20180904_144403.jpg"/>
                          <pic:cNvPicPr>
                            <a:picLocks noChangeAspect="1" noChangeArrowheads="1"/>
                          </pic:cNvPicPr>
                        </pic:nvPicPr>
                        <pic:blipFill>
                          <a:blip r:embed="rId4" cstate="print"/>
                          <a:srcRect l="39790" t="9957" r="42628" b="46087"/>
                          <a:stretch>
                            <a:fillRect/>
                          </a:stretch>
                        </pic:blipFill>
                        <pic:spPr bwMode="auto">
                          <a:xfrm>
                            <a:off x="0" y="0"/>
                            <a:ext cx="1673853" cy="2570546"/>
                          </a:xfrm>
                          <a:prstGeom prst="rect">
                            <a:avLst/>
                          </a:prstGeom>
                          <a:noFill/>
                          <a:ln w="9525">
                            <a:noFill/>
                            <a:miter lim="800000"/>
                            <a:headEnd/>
                            <a:tailEnd/>
                          </a:ln>
                        </pic:spPr>
                      </pic:pic>
                    </a:graphicData>
                  </a:graphic>
                </wp:inline>
              </w:drawing>
            </w:r>
          </w:p>
        </w:tc>
        <w:tc>
          <w:tcPr>
            <w:tcW w:w="1059" w:type="dxa"/>
          </w:tcPr>
          <w:p w:rsidR="00B51981" w:rsidRPr="00B51981" w:rsidRDefault="00B51981" w:rsidP="00B51981">
            <w:pPr>
              <w:rPr>
                <w:sz w:val="22"/>
                <w:szCs w:val="22"/>
              </w:rPr>
            </w:pPr>
            <w:r w:rsidRPr="00B51981">
              <w:rPr>
                <w:sz w:val="22"/>
                <w:szCs w:val="22"/>
              </w:rPr>
              <w:t>Cattle, Horses</w:t>
            </w:r>
          </w:p>
        </w:tc>
        <w:tc>
          <w:tcPr>
            <w:tcW w:w="2090" w:type="dxa"/>
          </w:tcPr>
          <w:p w:rsidR="00B51981" w:rsidRPr="00B51981" w:rsidRDefault="00B51981" w:rsidP="00B51981">
            <w:pPr>
              <w:autoSpaceDE w:val="0"/>
              <w:autoSpaceDN w:val="0"/>
              <w:adjustRightInd w:val="0"/>
              <w:rPr>
                <w:rFonts w:cs="Times New Roman"/>
                <w:sz w:val="22"/>
                <w:szCs w:val="22"/>
              </w:rPr>
            </w:pPr>
            <w:r w:rsidRPr="00B51981">
              <w:rPr>
                <w:rFonts w:cs="Times New Roman"/>
                <w:sz w:val="22"/>
                <w:szCs w:val="22"/>
              </w:rPr>
              <w:t>Classified as a short acting barbiturate that acts to depress the central nervous system. Pentobarbital is used in large animals at low doses and as a humane method of euthanasia.</w:t>
            </w:r>
          </w:p>
          <w:p w:rsidR="00B51981" w:rsidRPr="00B51981" w:rsidRDefault="00B51981" w:rsidP="00B51981">
            <w:pPr>
              <w:autoSpaceDE w:val="0"/>
              <w:autoSpaceDN w:val="0"/>
              <w:adjustRightInd w:val="0"/>
              <w:rPr>
                <w:rFonts w:cs="Times-Roman"/>
                <w:sz w:val="22"/>
                <w:szCs w:val="22"/>
              </w:rPr>
            </w:pPr>
            <w:r w:rsidRPr="00B51981">
              <w:rPr>
                <w:rFonts w:cs="Times New Roman"/>
                <w:sz w:val="22"/>
                <w:szCs w:val="22"/>
              </w:rPr>
              <w:t xml:space="preserve">Also used in cattle for standing sedation.  </w:t>
            </w:r>
          </w:p>
        </w:tc>
        <w:tc>
          <w:tcPr>
            <w:tcW w:w="2131" w:type="dxa"/>
          </w:tcPr>
          <w:p w:rsidR="00B51981" w:rsidRPr="00B51981" w:rsidRDefault="00B51981" w:rsidP="00B51981">
            <w:pPr>
              <w:autoSpaceDE w:val="0"/>
              <w:autoSpaceDN w:val="0"/>
              <w:adjustRightInd w:val="0"/>
              <w:rPr>
                <w:rFonts w:cs="Times-Roman"/>
                <w:sz w:val="22"/>
                <w:szCs w:val="22"/>
              </w:rPr>
            </w:pPr>
            <w:r w:rsidRPr="00B51981">
              <w:rPr>
                <w:rFonts w:cs="Times-Roman"/>
                <w:sz w:val="22"/>
                <w:szCs w:val="22"/>
              </w:rPr>
              <w:t>For injection containing 65mg/mL for general anesthesia.</w:t>
            </w:r>
          </w:p>
          <w:p w:rsidR="00B51981" w:rsidRPr="00B51981" w:rsidRDefault="00B51981" w:rsidP="00B51981">
            <w:pPr>
              <w:autoSpaceDE w:val="0"/>
              <w:autoSpaceDN w:val="0"/>
              <w:adjustRightInd w:val="0"/>
              <w:rPr>
                <w:rFonts w:cs="Times-Roman"/>
                <w:sz w:val="22"/>
                <w:szCs w:val="22"/>
              </w:rPr>
            </w:pPr>
            <w:r w:rsidRPr="00B51981">
              <w:rPr>
                <w:rFonts w:cs="Times-Roman"/>
                <w:sz w:val="22"/>
                <w:szCs w:val="22"/>
              </w:rPr>
              <w:t xml:space="preserve">For injection containing 200, 240, 340, 390, and 540mg/mL for euthanasia. </w:t>
            </w:r>
          </w:p>
          <w:p w:rsidR="00B51981" w:rsidRPr="00B51981" w:rsidRDefault="00B51981" w:rsidP="00B51981">
            <w:pPr>
              <w:autoSpaceDE w:val="0"/>
              <w:autoSpaceDN w:val="0"/>
              <w:adjustRightInd w:val="0"/>
              <w:rPr>
                <w:rFonts w:cs="Times-Roman"/>
                <w:sz w:val="22"/>
                <w:szCs w:val="22"/>
              </w:rPr>
            </w:pPr>
          </w:p>
        </w:tc>
        <w:tc>
          <w:tcPr>
            <w:tcW w:w="1704" w:type="dxa"/>
          </w:tcPr>
          <w:p w:rsidR="00B51981" w:rsidRPr="00B51981" w:rsidRDefault="00B51981" w:rsidP="00B51981">
            <w:pPr>
              <w:rPr>
                <w:rFonts w:cs="Times New Roman"/>
                <w:sz w:val="22"/>
                <w:szCs w:val="22"/>
              </w:rPr>
            </w:pPr>
            <w:r w:rsidRPr="00B51981">
              <w:rPr>
                <w:rFonts w:cs="Times New Roman"/>
                <w:sz w:val="22"/>
                <w:szCs w:val="22"/>
              </w:rPr>
              <w:t>In dogs, the reported oral LD</w:t>
            </w:r>
            <w:r w:rsidRPr="00B51981">
              <w:rPr>
                <w:rFonts w:cs="Times New Roman"/>
                <w:sz w:val="22"/>
                <w:szCs w:val="22"/>
                <w:vertAlign w:val="subscript"/>
              </w:rPr>
              <w:t>50</w:t>
            </w:r>
            <w:r w:rsidRPr="00B51981">
              <w:rPr>
                <w:rFonts w:cs="Times New Roman"/>
                <w:sz w:val="22"/>
                <w:szCs w:val="22"/>
              </w:rPr>
              <w:t xml:space="preserve"> is 85 mg/kg and IV LD</w:t>
            </w:r>
            <w:r w:rsidRPr="00B51981">
              <w:rPr>
                <w:rFonts w:cs="Times New Roman"/>
                <w:sz w:val="22"/>
                <w:szCs w:val="22"/>
                <w:vertAlign w:val="subscript"/>
              </w:rPr>
              <w:t>50</w:t>
            </w:r>
            <w:r w:rsidRPr="00B51981">
              <w:rPr>
                <w:rFonts w:cs="Times New Roman"/>
                <w:sz w:val="22"/>
                <w:szCs w:val="22"/>
              </w:rPr>
              <w:t xml:space="preserve"> is 40–60 mg/kg.</w:t>
            </w:r>
          </w:p>
        </w:tc>
        <w:tc>
          <w:tcPr>
            <w:tcW w:w="2131" w:type="dxa"/>
          </w:tcPr>
          <w:p w:rsidR="00B51981" w:rsidRPr="00B51981" w:rsidRDefault="00B51981" w:rsidP="00B51981">
            <w:pPr>
              <w:rPr>
                <w:rFonts w:cs="Times New Roman"/>
                <w:sz w:val="22"/>
                <w:szCs w:val="22"/>
              </w:rPr>
            </w:pPr>
            <w:r w:rsidRPr="00B51981">
              <w:rPr>
                <w:rFonts w:cs="Times New Roman"/>
                <w:sz w:val="22"/>
                <w:szCs w:val="22"/>
              </w:rPr>
              <w:t>Known hypersensitivity, severe liver disease, nephritis, or severe respiratory depression (large doses). Caution: Hypovolemia, anemia, borderline hypo-adrenal function, or</w:t>
            </w:r>
          </w:p>
          <w:p w:rsidR="00B51981" w:rsidRPr="00B51981" w:rsidRDefault="00B51981" w:rsidP="00B51981">
            <w:pPr>
              <w:rPr>
                <w:rFonts w:cs="Times New Roman"/>
                <w:sz w:val="22"/>
                <w:szCs w:val="22"/>
              </w:rPr>
            </w:pPr>
            <w:r w:rsidRPr="00B51981">
              <w:rPr>
                <w:rFonts w:cs="Times New Roman"/>
                <w:sz w:val="22"/>
                <w:szCs w:val="22"/>
              </w:rPr>
              <w:t>cardiac or respiratory disease. Use with caution in cats (sensitive to respiratory depression).</w:t>
            </w:r>
          </w:p>
          <w:p w:rsidR="00B51981" w:rsidRPr="00B51981" w:rsidRDefault="00B51981" w:rsidP="00B51981">
            <w:pPr>
              <w:rPr>
                <w:rFonts w:cs="Times New Roman"/>
                <w:sz w:val="22"/>
                <w:szCs w:val="22"/>
              </w:rPr>
            </w:pPr>
            <w:r w:rsidRPr="00B51981">
              <w:rPr>
                <w:rFonts w:cs="Times New Roman"/>
                <w:sz w:val="22"/>
                <w:szCs w:val="22"/>
              </w:rPr>
              <w:t>Animals intended for human or</w:t>
            </w:r>
          </w:p>
          <w:p w:rsidR="00B51981" w:rsidRPr="00B51981" w:rsidRDefault="00B51981" w:rsidP="00B51981">
            <w:pPr>
              <w:rPr>
                <w:rFonts w:cs="Times-Roman"/>
                <w:sz w:val="22"/>
                <w:szCs w:val="22"/>
              </w:rPr>
            </w:pPr>
            <w:r w:rsidRPr="00B51981">
              <w:rPr>
                <w:rFonts w:cs="Times New Roman"/>
                <w:sz w:val="22"/>
                <w:szCs w:val="22"/>
              </w:rPr>
              <w:t>animal consumption</w:t>
            </w:r>
          </w:p>
        </w:tc>
        <w:tc>
          <w:tcPr>
            <w:tcW w:w="3857" w:type="dxa"/>
          </w:tcPr>
          <w:p w:rsidR="00B51981" w:rsidRPr="00B51981" w:rsidRDefault="00B51981" w:rsidP="00B51981">
            <w:pPr>
              <w:autoSpaceDE w:val="0"/>
              <w:autoSpaceDN w:val="0"/>
              <w:adjustRightInd w:val="0"/>
              <w:rPr>
                <w:rFonts w:cs="Times-Roman"/>
                <w:sz w:val="22"/>
                <w:szCs w:val="22"/>
              </w:rPr>
            </w:pPr>
            <w:r w:rsidRPr="00B51981">
              <w:rPr>
                <w:rFonts w:cs="Times-Roman"/>
                <w:sz w:val="22"/>
                <w:szCs w:val="22"/>
              </w:rPr>
              <w:t xml:space="preserve">Suppresses sensitivity of the motor endplate of skeletal muscle to acetylcholine but does not fully relax the abdominal muscles. Ruminants, particularly sheep and goats, metabolize pentobarbital from the plasma at a high rate, which may explain the need for supplemental increments of pentobarbital in anesthesia every 15 to 30 minutes. However, pentobarbital metabolism in sheep cannot be accelerated beyond its already high rate. Barbiturates are potent depressants of cerebral oxygen consumption and depress respiratory centers, particularly when given by IV injection. </w:t>
            </w:r>
          </w:p>
        </w:tc>
        <w:tc>
          <w:tcPr>
            <w:tcW w:w="3829" w:type="dxa"/>
          </w:tcPr>
          <w:p w:rsidR="00B51981" w:rsidRPr="00B51981" w:rsidRDefault="00B51981" w:rsidP="00B51981">
            <w:pPr>
              <w:autoSpaceDE w:val="0"/>
              <w:autoSpaceDN w:val="0"/>
              <w:adjustRightInd w:val="0"/>
              <w:rPr>
                <w:rFonts w:cs="Times-Roman"/>
                <w:sz w:val="22"/>
                <w:szCs w:val="22"/>
              </w:rPr>
            </w:pPr>
            <w:r w:rsidRPr="00B51981">
              <w:rPr>
                <w:rFonts w:cs="Times-Roman"/>
                <w:sz w:val="22"/>
                <w:szCs w:val="22"/>
              </w:rPr>
              <w:t xml:space="preserve">Alone for IV anesthesia in the horse or cow. Some horses may rear and fall backward, injuring the poll. Additionally, the animal may injure itself during the prolonged period of recovery while attempting to stand. </w:t>
            </w:r>
          </w:p>
          <w:p w:rsidR="00B51981" w:rsidRPr="00B51981" w:rsidRDefault="00B51981" w:rsidP="00B51981">
            <w:pPr>
              <w:autoSpaceDE w:val="0"/>
              <w:autoSpaceDN w:val="0"/>
              <w:adjustRightInd w:val="0"/>
              <w:rPr>
                <w:rFonts w:cs="Times-Roman"/>
                <w:sz w:val="22"/>
                <w:szCs w:val="22"/>
              </w:rPr>
            </w:pPr>
            <w:r w:rsidRPr="00B51981">
              <w:rPr>
                <w:rFonts w:cs="Times-Roman"/>
                <w:sz w:val="22"/>
                <w:szCs w:val="22"/>
              </w:rPr>
              <w:t xml:space="preserve">Barbiturate anesthesia in the horse should not be prolonged for longer than 1 hour and no more than 5 g of any barbiturate should be given, even to draft breeds. Because pentobarbital is metabolized by the liver, it should not be administered to animals with hepatic disease. </w:t>
            </w:r>
          </w:p>
          <w:p w:rsidR="00B51981" w:rsidRPr="00B51981" w:rsidRDefault="00B51981" w:rsidP="00B51981">
            <w:pPr>
              <w:autoSpaceDE w:val="0"/>
              <w:autoSpaceDN w:val="0"/>
              <w:adjustRightInd w:val="0"/>
              <w:rPr>
                <w:rFonts w:cs="Times-Roman"/>
                <w:sz w:val="22"/>
                <w:szCs w:val="22"/>
              </w:rPr>
            </w:pPr>
          </w:p>
          <w:p w:rsidR="00B51981" w:rsidRPr="00B51981" w:rsidRDefault="00B51981" w:rsidP="00B51981">
            <w:pPr>
              <w:autoSpaceDE w:val="0"/>
              <w:autoSpaceDN w:val="0"/>
              <w:adjustRightInd w:val="0"/>
              <w:rPr>
                <w:rFonts w:cs="Times-Roman"/>
                <w:sz w:val="22"/>
                <w:szCs w:val="22"/>
              </w:rPr>
            </w:pPr>
            <w:bookmarkStart w:id="0" w:name="_GoBack"/>
            <w:bookmarkEnd w:id="0"/>
          </w:p>
        </w:tc>
      </w:tr>
    </w:tbl>
    <w:p w:rsidR="00B51981" w:rsidRPr="00B51981" w:rsidRDefault="00B51981" w:rsidP="00B51981">
      <w:pPr>
        <w:rPr>
          <w:rFonts w:ascii="Cambria" w:hAnsi="Cambria"/>
        </w:rPr>
      </w:pPr>
    </w:p>
    <w:sectPr w:rsidR="00B51981" w:rsidRPr="00B51981" w:rsidSect="00B51981">
      <w:pgSz w:w="20160" w:h="12240" w:orient="landscape" w:code="5"/>
      <w:pgMar w:top="284"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81"/>
    <w:rsid w:val="000B719E"/>
    <w:rsid w:val="00B51981"/>
    <w:rsid w:val="00E573C1"/>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C9E1"/>
  <w15:chartTrackingRefBased/>
  <w15:docId w15:val="{54327F25-8B17-445B-9CBD-4647B9A6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before="24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51981"/>
    <w:pPr>
      <w:spacing w:before="0" w:line="240" w:lineRule="auto"/>
      <w:jc w:val="left"/>
    </w:pPr>
    <w:rPr>
      <w:rFonts w:ascii="Cambria"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5198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Maharaj</dc:creator>
  <cp:keywords/>
  <dc:description/>
  <cp:lastModifiedBy>Krystal Maharaj</cp:lastModifiedBy>
  <cp:revision>1</cp:revision>
  <dcterms:created xsi:type="dcterms:W3CDTF">2018-09-08T03:54:00Z</dcterms:created>
  <dcterms:modified xsi:type="dcterms:W3CDTF">2018-09-08T03:57:00Z</dcterms:modified>
</cp:coreProperties>
</file>