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9814" w:type="dxa"/>
        <w:tblInd w:w="-572" w:type="dxa"/>
        <w:tblLayout w:type="fixed"/>
        <w:tblLook w:val="04A0" w:firstRow="1" w:lastRow="0" w:firstColumn="1" w:lastColumn="0" w:noHBand="0" w:noVBand="1"/>
      </w:tblPr>
      <w:tblGrid>
        <w:gridCol w:w="3086"/>
        <w:gridCol w:w="1055"/>
        <w:gridCol w:w="2081"/>
        <w:gridCol w:w="2122"/>
        <w:gridCol w:w="1697"/>
        <w:gridCol w:w="2121"/>
        <w:gridCol w:w="3840"/>
        <w:gridCol w:w="3812"/>
      </w:tblGrid>
      <w:tr w:rsidR="00D60B09" w:rsidRPr="00D60B09" w:rsidTr="00D60B09">
        <w:trPr>
          <w:trHeight w:val="374"/>
        </w:trPr>
        <w:tc>
          <w:tcPr>
            <w:tcW w:w="3086" w:type="dxa"/>
          </w:tcPr>
          <w:p w:rsidR="00642D7C" w:rsidRPr="00642D7C" w:rsidRDefault="00642D7C" w:rsidP="00642D7C">
            <w:pPr>
              <w:rPr>
                <w:rFonts w:eastAsia="Calibri" w:cs="Times New Roman"/>
                <w:b/>
                <w:sz w:val="22"/>
                <w:szCs w:val="22"/>
                <w:lang w:val="en-TT"/>
              </w:rPr>
            </w:pPr>
            <w:bookmarkStart w:id="0" w:name="_Hlk524127809"/>
            <w:r w:rsidRPr="00642D7C">
              <w:rPr>
                <w:rFonts w:eastAsia="Calibri" w:cs="Times New Roman"/>
                <w:b/>
                <w:sz w:val="22"/>
                <w:szCs w:val="22"/>
                <w:lang w:val="en-TT"/>
              </w:rPr>
              <w:t>Drug</w:t>
            </w:r>
          </w:p>
        </w:tc>
        <w:tc>
          <w:tcPr>
            <w:tcW w:w="1055" w:type="dxa"/>
          </w:tcPr>
          <w:p w:rsidR="00642D7C" w:rsidRPr="00642D7C" w:rsidRDefault="00642D7C" w:rsidP="00642D7C">
            <w:pPr>
              <w:rPr>
                <w:rFonts w:eastAsia="Calibri" w:cs="Times New Roman"/>
                <w:b/>
                <w:sz w:val="22"/>
                <w:szCs w:val="22"/>
                <w:lang w:val="en-TT"/>
              </w:rPr>
            </w:pPr>
            <w:r w:rsidRPr="00642D7C">
              <w:rPr>
                <w:rFonts w:eastAsia="Calibri" w:cs="Times New Roman"/>
                <w:b/>
                <w:sz w:val="22"/>
                <w:szCs w:val="22"/>
                <w:lang w:val="en-TT"/>
              </w:rPr>
              <w:t>Species</w:t>
            </w:r>
          </w:p>
        </w:tc>
        <w:tc>
          <w:tcPr>
            <w:tcW w:w="2081" w:type="dxa"/>
          </w:tcPr>
          <w:p w:rsidR="00642D7C" w:rsidRPr="00642D7C" w:rsidRDefault="00642D7C" w:rsidP="00642D7C">
            <w:pPr>
              <w:rPr>
                <w:rFonts w:eastAsia="Calibri" w:cs="Times New Roman"/>
                <w:b/>
                <w:sz w:val="22"/>
                <w:szCs w:val="22"/>
                <w:lang w:val="en-TT"/>
              </w:rPr>
            </w:pPr>
            <w:r w:rsidRPr="00642D7C">
              <w:rPr>
                <w:rFonts w:eastAsia="Calibri" w:cs="Times New Roman"/>
                <w:b/>
                <w:sz w:val="22"/>
                <w:szCs w:val="22"/>
                <w:lang w:val="en-TT"/>
              </w:rPr>
              <w:t>Indications</w:t>
            </w:r>
          </w:p>
        </w:tc>
        <w:tc>
          <w:tcPr>
            <w:tcW w:w="2122" w:type="dxa"/>
          </w:tcPr>
          <w:p w:rsidR="00642D7C" w:rsidRPr="00642D7C" w:rsidRDefault="00642D7C" w:rsidP="00642D7C">
            <w:pPr>
              <w:rPr>
                <w:rFonts w:eastAsia="Calibri" w:cs="Times New Roman"/>
                <w:b/>
                <w:sz w:val="22"/>
                <w:szCs w:val="22"/>
                <w:lang w:val="en-TT"/>
              </w:rPr>
            </w:pPr>
            <w:r w:rsidRPr="00642D7C">
              <w:rPr>
                <w:rFonts w:eastAsia="Calibri" w:cs="Times New Roman"/>
                <w:b/>
                <w:sz w:val="22"/>
                <w:szCs w:val="22"/>
                <w:lang w:val="en-TT"/>
              </w:rPr>
              <w:t>Therapeutic Dose</w:t>
            </w:r>
          </w:p>
        </w:tc>
        <w:tc>
          <w:tcPr>
            <w:tcW w:w="1697" w:type="dxa"/>
          </w:tcPr>
          <w:p w:rsidR="00642D7C" w:rsidRPr="00642D7C" w:rsidRDefault="00642D7C" w:rsidP="00642D7C">
            <w:pPr>
              <w:rPr>
                <w:rFonts w:eastAsia="Calibri" w:cs="Times New Roman"/>
                <w:b/>
                <w:sz w:val="22"/>
                <w:szCs w:val="22"/>
                <w:lang w:val="en-TT"/>
              </w:rPr>
            </w:pPr>
            <w:r w:rsidRPr="00642D7C">
              <w:rPr>
                <w:rFonts w:eastAsia="Calibri" w:cs="Times New Roman"/>
                <w:b/>
                <w:sz w:val="22"/>
                <w:szCs w:val="22"/>
                <w:lang w:val="en-TT"/>
              </w:rPr>
              <w:t>Lethal Dose/ Toxicity</w:t>
            </w:r>
          </w:p>
        </w:tc>
        <w:tc>
          <w:tcPr>
            <w:tcW w:w="2121" w:type="dxa"/>
          </w:tcPr>
          <w:p w:rsidR="00642D7C" w:rsidRPr="00642D7C" w:rsidRDefault="00642D7C" w:rsidP="00642D7C">
            <w:pPr>
              <w:rPr>
                <w:rFonts w:eastAsia="Calibri" w:cs="Times New Roman"/>
                <w:b/>
                <w:sz w:val="22"/>
                <w:szCs w:val="22"/>
                <w:lang w:val="en-TT"/>
              </w:rPr>
            </w:pPr>
            <w:r w:rsidRPr="00642D7C">
              <w:rPr>
                <w:rFonts w:eastAsia="Calibri" w:cs="Times New Roman"/>
                <w:b/>
                <w:sz w:val="22"/>
                <w:szCs w:val="22"/>
                <w:lang w:val="en-TT"/>
              </w:rPr>
              <w:t>Contraindications</w:t>
            </w:r>
          </w:p>
        </w:tc>
        <w:tc>
          <w:tcPr>
            <w:tcW w:w="3840" w:type="dxa"/>
          </w:tcPr>
          <w:p w:rsidR="00642D7C" w:rsidRPr="00642D7C" w:rsidRDefault="00642D7C" w:rsidP="00642D7C">
            <w:pPr>
              <w:rPr>
                <w:rFonts w:eastAsia="Calibri" w:cs="Times New Roman"/>
                <w:b/>
                <w:sz w:val="22"/>
                <w:szCs w:val="22"/>
                <w:lang w:val="en-TT"/>
              </w:rPr>
            </w:pPr>
            <w:r w:rsidRPr="00642D7C">
              <w:rPr>
                <w:rFonts w:eastAsia="Calibri" w:cs="Times New Roman"/>
                <w:b/>
                <w:sz w:val="22"/>
                <w:szCs w:val="22"/>
                <w:lang w:val="en-TT"/>
              </w:rPr>
              <w:t>Pharmacology</w:t>
            </w:r>
          </w:p>
        </w:tc>
        <w:tc>
          <w:tcPr>
            <w:tcW w:w="3812" w:type="dxa"/>
          </w:tcPr>
          <w:p w:rsidR="00642D7C" w:rsidRPr="00642D7C" w:rsidRDefault="00642D7C" w:rsidP="00642D7C">
            <w:pPr>
              <w:rPr>
                <w:rFonts w:eastAsia="Calibri" w:cs="Times New Roman"/>
                <w:b/>
                <w:sz w:val="22"/>
                <w:szCs w:val="22"/>
                <w:lang w:val="en-TT"/>
              </w:rPr>
            </w:pPr>
            <w:r w:rsidRPr="00642D7C">
              <w:rPr>
                <w:rFonts w:eastAsia="Calibri" w:cs="Times New Roman"/>
                <w:b/>
                <w:sz w:val="22"/>
                <w:szCs w:val="22"/>
                <w:lang w:val="en-TT"/>
              </w:rPr>
              <w:t>Adverse Effects</w:t>
            </w:r>
          </w:p>
        </w:tc>
      </w:tr>
      <w:tr w:rsidR="00D60B09" w:rsidRPr="00D60B09" w:rsidTr="0096095F">
        <w:trPr>
          <w:trHeight w:val="10526"/>
        </w:trPr>
        <w:tc>
          <w:tcPr>
            <w:tcW w:w="3086" w:type="dxa"/>
          </w:tcPr>
          <w:p w:rsidR="00D60B09" w:rsidRDefault="00D60B09" w:rsidP="00D60B09">
            <w:pPr>
              <w:ind w:left="-108"/>
              <w:rPr>
                <w:sz w:val="22"/>
                <w:szCs w:val="22"/>
                <w:vertAlign w:val="superscript"/>
              </w:rPr>
            </w:pPr>
            <w:r w:rsidRPr="00D60B09">
              <w:rPr>
                <w:sz w:val="22"/>
                <w:szCs w:val="22"/>
              </w:rPr>
              <w:t>Combistress</w:t>
            </w:r>
            <w:r w:rsidRPr="00D60B09">
              <w:rPr>
                <w:sz w:val="22"/>
                <w:szCs w:val="22"/>
                <w:vertAlign w:val="superscript"/>
              </w:rPr>
              <w:t xml:space="preserve"> ®</w:t>
            </w:r>
          </w:p>
          <w:p w:rsidR="00D60B09" w:rsidRPr="00D60B09" w:rsidRDefault="00D60B09" w:rsidP="00D60B09">
            <w:pPr>
              <w:ind w:left="-108"/>
              <w:rPr>
                <w:sz w:val="22"/>
                <w:szCs w:val="22"/>
              </w:rPr>
            </w:pPr>
          </w:p>
          <w:p w:rsidR="00D60B09" w:rsidRPr="00D60B09" w:rsidRDefault="00D60B09" w:rsidP="00D60B09">
            <w:pPr>
              <w:ind w:left="-108"/>
              <w:rPr>
                <w:sz w:val="22"/>
                <w:szCs w:val="22"/>
              </w:rPr>
            </w:pPr>
            <w:r w:rsidRPr="00D60B09">
              <w:rPr>
                <w:noProof/>
              </w:rPr>
              <w:drawing>
                <wp:inline distT="0" distB="0" distL="0" distR="0" wp14:anchorId="6E2F0B61" wp14:editId="1DD4897E">
                  <wp:extent cx="1663710" cy="2264735"/>
                  <wp:effectExtent l="19050" t="0" r="0" b="0"/>
                  <wp:docPr id="7" name="Picture 1" descr="E:\Dr. Diptee Introduction and Lab 1\las\Drugs\IMG_20180904_145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 Diptee Introduction and Lab 1\las\Drugs\IMG_20180904_145719.jpg"/>
                          <pic:cNvPicPr>
                            <a:picLocks noChangeAspect="1" noChangeArrowheads="1"/>
                          </pic:cNvPicPr>
                        </pic:nvPicPr>
                        <pic:blipFill>
                          <a:blip r:embed="rId7" cstate="print"/>
                          <a:srcRect l="29216" r="27141" b="20889"/>
                          <a:stretch>
                            <a:fillRect/>
                          </a:stretch>
                        </pic:blipFill>
                        <pic:spPr bwMode="auto">
                          <a:xfrm>
                            <a:off x="0" y="0"/>
                            <a:ext cx="1664568" cy="2265902"/>
                          </a:xfrm>
                          <a:prstGeom prst="rect">
                            <a:avLst/>
                          </a:prstGeom>
                          <a:noFill/>
                          <a:ln w="9525">
                            <a:noFill/>
                            <a:miter lim="800000"/>
                            <a:headEnd/>
                            <a:tailEnd/>
                          </a:ln>
                        </pic:spPr>
                      </pic:pic>
                    </a:graphicData>
                  </a:graphic>
                </wp:inline>
              </w:drawing>
            </w:r>
            <w:r w:rsidRPr="00D60B09">
              <w:rPr>
                <w:sz w:val="22"/>
                <w:szCs w:val="22"/>
              </w:rPr>
              <w:br/>
            </w:r>
          </w:p>
        </w:tc>
        <w:tc>
          <w:tcPr>
            <w:tcW w:w="1055" w:type="dxa"/>
          </w:tcPr>
          <w:p w:rsidR="00D60B09" w:rsidRPr="00D60B09" w:rsidRDefault="00D60B09" w:rsidP="00D60B09">
            <w:pPr>
              <w:rPr>
                <w:sz w:val="22"/>
                <w:szCs w:val="22"/>
              </w:rPr>
            </w:pPr>
            <w:r w:rsidRPr="00D60B09">
              <w:rPr>
                <w:sz w:val="22"/>
                <w:szCs w:val="22"/>
              </w:rPr>
              <w:t>Cattle, Horses, Sheep, Goats, Swine</w:t>
            </w:r>
          </w:p>
        </w:tc>
        <w:tc>
          <w:tcPr>
            <w:tcW w:w="2081" w:type="dxa"/>
          </w:tcPr>
          <w:p w:rsidR="00D60B09" w:rsidRPr="00D60B09" w:rsidRDefault="00D60B09" w:rsidP="00D60B09">
            <w:pPr>
              <w:autoSpaceDE w:val="0"/>
              <w:autoSpaceDN w:val="0"/>
              <w:adjustRightInd w:val="0"/>
              <w:rPr>
                <w:rFonts w:cs="Times-Roman"/>
                <w:sz w:val="22"/>
                <w:szCs w:val="22"/>
              </w:rPr>
            </w:pPr>
            <w:r w:rsidRPr="00D60B09">
              <w:rPr>
                <w:rFonts w:cs="Times-Roman"/>
                <w:sz w:val="22"/>
                <w:szCs w:val="22"/>
              </w:rPr>
              <w:t xml:space="preserve">Tranquilization during shipment. Sedation of nervous or aggressive animals. Vomiting associated with motion sickness. Premedication in general or local anesthesia. </w:t>
            </w:r>
          </w:p>
        </w:tc>
        <w:tc>
          <w:tcPr>
            <w:tcW w:w="2122" w:type="dxa"/>
          </w:tcPr>
          <w:p w:rsidR="00D60B09" w:rsidRPr="00D60B09" w:rsidRDefault="00D60B09" w:rsidP="00D60B09">
            <w:pPr>
              <w:rPr>
                <w:rFonts w:cs="Times-Roman"/>
                <w:sz w:val="22"/>
                <w:szCs w:val="22"/>
              </w:rPr>
            </w:pPr>
            <w:r w:rsidRPr="00D60B09">
              <w:rPr>
                <w:rFonts w:cs="Times-Roman"/>
                <w:sz w:val="22"/>
                <w:szCs w:val="22"/>
              </w:rPr>
              <w:t xml:space="preserve">Cattle, horses, sheep, goats: </w:t>
            </w:r>
          </w:p>
          <w:p w:rsidR="00D60B09" w:rsidRPr="00D60B09" w:rsidRDefault="00D60B09" w:rsidP="00D60B09">
            <w:pPr>
              <w:rPr>
                <w:rFonts w:cs="Times-Roman"/>
                <w:sz w:val="22"/>
                <w:szCs w:val="22"/>
              </w:rPr>
            </w:pPr>
            <w:r w:rsidRPr="00D60B09">
              <w:rPr>
                <w:rFonts w:cs="Times-Roman"/>
                <w:sz w:val="22"/>
                <w:szCs w:val="22"/>
              </w:rPr>
              <w:t>0.05 mg/kg or 0.125 ml/50 kg I.V.</w:t>
            </w:r>
          </w:p>
          <w:p w:rsidR="00D60B09" w:rsidRPr="00D60B09" w:rsidRDefault="00D60B09" w:rsidP="00D60B09">
            <w:pPr>
              <w:rPr>
                <w:rFonts w:cs="Times-Roman"/>
                <w:sz w:val="22"/>
                <w:szCs w:val="22"/>
              </w:rPr>
            </w:pPr>
            <w:r w:rsidRPr="00D60B09">
              <w:rPr>
                <w:rFonts w:cs="Times-Roman"/>
                <w:sz w:val="22"/>
                <w:szCs w:val="22"/>
              </w:rPr>
              <w:t>0.05 - 0.1 mg/kg or 0.125 - 0.25 ml/50 kg b.w. I.M.</w:t>
            </w:r>
          </w:p>
          <w:p w:rsidR="00D60B09" w:rsidRPr="00D60B09" w:rsidRDefault="00D60B09" w:rsidP="00D60B09">
            <w:pPr>
              <w:rPr>
                <w:rFonts w:cs="Times-Roman"/>
                <w:sz w:val="22"/>
                <w:szCs w:val="22"/>
              </w:rPr>
            </w:pPr>
          </w:p>
          <w:p w:rsidR="00D60B09" w:rsidRPr="00D60B09" w:rsidRDefault="00D60B09" w:rsidP="00D60B09">
            <w:pPr>
              <w:autoSpaceDE w:val="0"/>
              <w:autoSpaceDN w:val="0"/>
              <w:adjustRightInd w:val="0"/>
              <w:rPr>
                <w:rFonts w:cs="Times-Roman"/>
                <w:sz w:val="22"/>
                <w:szCs w:val="22"/>
              </w:rPr>
            </w:pPr>
            <w:r w:rsidRPr="00D60B09">
              <w:rPr>
                <w:rFonts w:cs="Times-Roman"/>
                <w:sz w:val="22"/>
                <w:szCs w:val="22"/>
              </w:rPr>
              <w:t xml:space="preserve">Swine: </w:t>
            </w:r>
          </w:p>
          <w:p w:rsidR="00D60B09" w:rsidRPr="00D60B09" w:rsidRDefault="00D60B09" w:rsidP="00D60B09">
            <w:pPr>
              <w:autoSpaceDE w:val="0"/>
              <w:autoSpaceDN w:val="0"/>
              <w:adjustRightInd w:val="0"/>
              <w:rPr>
                <w:rFonts w:cs="Times-Roman"/>
                <w:sz w:val="22"/>
                <w:szCs w:val="22"/>
              </w:rPr>
            </w:pPr>
            <w:r w:rsidRPr="00D60B09">
              <w:rPr>
                <w:rFonts w:cs="Times-Roman"/>
                <w:sz w:val="22"/>
                <w:szCs w:val="22"/>
              </w:rPr>
              <w:t xml:space="preserve">0.1-0.2 mg/kg IV, IM, SC </w:t>
            </w:r>
          </w:p>
        </w:tc>
        <w:tc>
          <w:tcPr>
            <w:tcW w:w="1697" w:type="dxa"/>
          </w:tcPr>
          <w:p w:rsidR="00D60B09" w:rsidRPr="00D60B09" w:rsidRDefault="00D60B09" w:rsidP="00D60B09">
            <w:pPr>
              <w:rPr>
                <w:rFonts w:cs="Times New Roman"/>
                <w:sz w:val="22"/>
                <w:szCs w:val="22"/>
              </w:rPr>
            </w:pPr>
            <w:r w:rsidRPr="00D60B09">
              <w:rPr>
                <w:rFonts w:cs="Times-Roman"/>
                <w:sz w:val="22"/>
                <w:szCs w:val="22"/>
              </w:rPr>
              <w:t>The LD</w:t>
            </w:r>
            <w:r w:rsidRPr="00D60B09">
              <w:rPr>
                <w:rFonts w:cs="Times-Roman"/>
                <w:sz w:val="22"/>
                <w:szCs w:val="22"/>
                <w:vertAlign w:val="subscript"/>
              </w:rPr>
              <w:t>50</w:t>
            </w:r>
            <w:r w:rsidRPr="00D60B09">
              <w:rPr>
                <w:rFonts w:cs="Times-Roman"/>
                <w:sz w:val="22"/>
                <w:szCs w:val="22"/>
              </w:rPr>
              <w:t xml:space="preserve"> in mice is 61 mg/kg after IV dosage and 257 mg/kg after oral dose.</w:t>
            </w:r>
          </w:p>
        </w:tc>
        <w:tc>
          <w:tcPr>
            <w:tcW w:w="2121" w:type="dxa"/>
          </w:tcPr>
          <w:p w:rsidR="00D60B09" w:rsidRPr="00D60B09" w:rsidRDefault="00D60B09" w:rsidP="00D60B09">
            <w:pPr>
              <w:autoSpaceDE w:val="0"/>
              <w:autoSpaceDN w:val="0"/>
              <w:adjustRightInd w:val="0"/>
              <w:rPr>
                <w:rFonts w:cs="Times-Roman"/>
                <w:sz w:val="22"/>
                <w:szCs w:val="22"/>
              </w:rPr>
            </w:pPr>
            <w:r w:rsidRPr="00D60B09">
              <w:rPr>
                <w:rFonts w:cs="Times-Roman"/>
                <w:sz w:val="22"/>
                <w:szCs w:val="22"/>
              </w:rPr>
              <w:t>Cardiac disease, hypovolemia, hypotension or shock. Co</w:t>
            </w:r>
            <w:r>
              <w:rPr>
                <w:rFonts w:cs="Times-Roman"/>
                <w:sz w:val="22"/>
                <w:szCs w:val="22"/>
              </w:rPr>
              <w:t xml:space="preserve">agulopathies or thrombocytopenia. </w:t>
            </w:r>
            <w:r w:rsidRPr="00D60B09">
              <w:rPr>
                <w:rFonts w:cs="Times-Roman"/>
                <w:sz w:val="22"/>
                <w:szCs w:val="22"/>
              </w:rPr>
              <w:t>Some researchers have reported that acepromazine has anticonvulsant activity, but in veterinary medicine it is generally felt that</w:t>
            </w:r>
          </w:p>
          <w:p w:rsidR="00D60B09" w:rsidRPr="00D60B09" w:rsidRDefault="00D60B09" w:rsidP="00D60B09">
            <w:pPr>
              <w:autoSpaceDE w:val="0"/>
              <w:autoSpaceDN w:val="0"/>
              <w:adjustRightInd w:val="0"/>
              <w:rPr>
                <w:rFonts w:cs="Times-Roman"/>
                <w:sz w:val="22"/>
                <w:szCs w:val="22"/>
              </w:rPr>
            </w:pPr>
            <w:r w:rsidRPr="00D60B09">
              <w:rPr>
                <w:rFonts w:cs="Times-Roman"/>
                <w:sz w:val="22"/>
                <w:szCs w:val="22"/>
              </w:rPr>
              <w:t>phenothiazines should not be used in epileptic animals or those susceptible to seizures (e.g., postmyelography)</w:t>
            </w:r>
          </w:p>
          <w:p w:rsidR="00D60B09" w:rsidRPr="00D60B09" w:rsidRDefault="00D60B09" w:rsidP="00D60B09">
            <w:pPr>
              <w:autoSpaceDE w:val="0"/>
              <w:autoSpaceDN w:val="0"/>
              <w:adjustRightInd w:val="0"/>
              <w:rPr>
                <w:rFonts w:cs="Times-Roman"/>
                <w:sz w:val="22"/>
                <w:szCs w:val="22"/>
              </w:rPr>
            </w:pPr>
            <w:r w:rsidRPr="00D60B09">
              <w:rPr>
                <w:rFonts w:cs="Times-Roman"/>
                <w:sz w:val="22"/>
                <w:szCs w:val="22"/>
              </w:rPr>
              <w:t>as it may precipitate seizures.</w:t>
            </w:r>
          </w:p>
          <w:p w:rsidR="00D60B09" w:rsidRPr="00D60B09" w:rsidRDefault="00D60B09" w:rsidP="00D60B09">
            <w:pPr>
              <w:rPr>
                <w:rFonts w:cs="Times-Roman"/>
                <w:sz w:val="22"/>
                <w:szCs w:val="22"/>
              </w:rPr>
            </w:pPr>
          </w:p>
        </w:tc>
        <w:tc>
          <w:tcPr>
            <w:tcW w:w="3840" w:type="dxa"/>
          </w:tcPr>
          <w:p w:rsidR="00D60B09" w:rsidRPr="00D60B09" w:rsidRDefault="00D60B09" w:rsidP="00D60B09">
            <w:pPr>
              <w:autoSpaceDE w:val="0"/>
              <w:autoSpaceDN w:val="0"/>
              <w:adjustRightInd w:val="0"/>
              <w:rPr>
                <w:rFonts w:cs="Times-Roman"/>
                <w:sz w:val="22"/>
                <w:szCs w:val="22"/>
              </w:rPr>
            </w:pPr>
            <w:r w:rsidRPr="00D60B09">
              <w:rPr>
                <w:rFonts w:cs="Times-Roman"/>
                <w:sz w:val="22"/>
                <w:szCs w:val="22"/>
              </w:rPr>
              <w:t>Acepromazine is a phenothiazine neuroleptic agent. While the exact mechanisms of action are not fully understood, the phenothiazines block post-synaptic dopamine receptors in the CNS and may also inhibit the release of and increase the turnover rate of dopamine. They are thought to depress portions of the reticular activating system which assists in the control of body temperature, basal metabolic rate, emesis, vasomotor tone, hormonal balance, and alertness. Additionally, phenothiazines have varying degrees of anticholinergic, antihistaminic, antispasmodic, and alpha-adrenergic blocking effects.</w:t>
            </w:r>
          </w:p>
          <w:p w:rsidR="00D60B09" w:rsidRPr="00D60B09" w:rsidRDefault="00D60B09" w:rsidP="00D60B09">
            <w:pPr>
              <w:autoSpaceDE w:val="0"/>
              <w:autoSpaceDN w:val="0"/>
              <w:adjustRightInd w:val="0"/>
              <w:rPr>
                <w:rFonts w:cs="Times-Roman"/>
                <w:sz w:val="22"/>
                <w:szCs w:val="22"/>
              </w:rPr>
            </w:pPr>
            <w:r w:rsidRPr="00D60B09">
              <w:rPr>
                <w:rFonts w:cs="Times-Roman"/>
                <w:sz w:val="22"/>
                <w:szCs w:val="22"/>
              </w:rPr>
              <w:t>The primary desired effect for the use of acepromazine in veterinary medicine is its</w:t>
            </w:r>
            <w:r w:rsidR="00F6053A">
              <w:rPr>
                <w:rFonts w:cs="Times-Roman"/>
                <w:sz w:val="22"/>
                <w:szCs w:val="22"/>
              </w:rPr>
              <w:t xml:space="preserve"> </w:t>
            </w:r>
            <w:bookmarkStart w:id="1" w:name="_GoBack"/>
            <w:bookmarkEnd w:id="1"/>
            <w:r w:rsidRPr="00D60B09">
              <w:rPr>
                <w:rFonts w:cs="Times-Roman"/>
                <w:sz w:val="22"/>
                <w:szCs w:val="22"/>
              </w:rPr>
              <w:t>tranquilizing action. Additional pharmacologic actions that acepromazine possess, include</w:t>
            </w:r>
          </w:p>
          <w:p w:rsidR="00D60B09" w:rsidRPr="00D60B09" w:rsidRDefault="00D60B09" w:rsidP="00D60B09">
            <w:pPr>
              <w:autoSpaceDE w:val="0"/>
              <w:autoSpaceDN w:val="0"/>
              <w:adjustRightInd w:val="0"/>
              <w:rPr>
                <w:rFonts w:cs="Times-Roman"/>
                <w:sz w:val="22"/>
                <w:szCs w:val="22"/>
              </w:rPr>
            </w:pPr>
            <w:r w:rsidRPr="00D60B09">
              <w:rPr>
                <w:rFonts w:cs="Times-Roman"/>
                <w:sz w:val="22"/>
                <w:szCs w:val="22"/>
              </w:rPr>
              <w:t xml:space="preserve">antiemetic, antispasmodic, and hypothermic actions. </w:t>
            </w:r>
          </w:p>
          <w:p w:rsidR="00D60B09" w:rsidRPr="00D60B09" w:rsidRDefault="00D60B09" w:rsidP="00D60B09">
            <w:pPr>
              <w:autoSpaceDE w:val="0"/>
              <w:autoSpaceDN w:val="0"/>
              <w:adjustRightInd w:val="0"/>
              <w:rPr>
                <w:rFonts w:cs="Times-Roman"/>
                <w:sz w:val="22"/>
                <w:szCs w:val="22"/>
              </w:rPr>
            </w:pPr>
            <w:r w:rsidRPr="00D60B09">
              <w:rPr>
                <w:rFonts w:cs="Times-Roman"/>
                <w:sz w:val="22"/>
                <w:szCs w:val="22"/>
              </w:rPr>
              <w:t>Acepromazine may decrease respiratory rates, but studies have demonstrated that little or no effect occurs with regard to the blood gas picture, pH or oxyhemoglobin saturation. A dose dependent decrease in hematocrit is seen within 30 minutes after dosing in the horse.</w:t>
            </w:r>
          </w:p>
          <w:p w:rsidR="00D60B09" w:rsidRPr="00D60B09" w:rsidRDefault="00D60B09" w:rsidP="00D60B09">
            <w:pPr>
              <w:autoSpaceDE w:val="0"/>
              <w:autoSpaceDN w:val="0"/>
              <w:adjustRightInd w:val="0"/>
              <w:rPr>
                <w:rFonts w:cs="Times-Roman"/>
                <w:sz w:val="22"/>
                <w:szCs w:val="22"/>
              </w:rPr>
            </w:pPr>
          </w:p>
        </w:tc>
        <w:tc>
          <w:tcPr>
            <w:tcW w:w="3812" w:type="dxa"/>
          </w:tcPr>
          <w:p w:rsidR="00D60B09" w:rsidRPr="00D60B09" w:rsidRDefault="00D60B09" w:rsidP="00D60B09">
            <w:pPr>
              <w:autoSpaceDE w:val="0"/>
              <w:autoSpaceDN w:val="0"/>
              <w:adjustRightInd w:val="0"/>
              <w:rPr>
                <w:rFonts w:cs="Times-Roman"/>
                <w:sz w:val="22"/>
                <w:szCs w:val="22"/>
              </w:rPr>
            </w:pPr>
            <w:r w:rsidRPr="00D60B09">
              <w:rPr>
                <w:rFonts w:cs="Times-Roman"/>
                <w:sz w:val="22"/>
                <w:szCs w:val="22"/>
              </w:rPr>
              <w:t>Acepromazine’s effect on blood pressure (hypotension) is well described and an important consideration in therapy. This effect is thought to be mediated by both central mechanisms and also through the alpha-adrenergic actions of the drug.</w:t>
            </w:r>
          </w:p>
          <w:p w:rsidR="00D60B09" w:rsidRPr="00D60B09" w:rsidRDefault="00D60B09" w:rsidP="00D60B09">
            <w:pPr>
              <w:autoSpaceDE w:val="0"/>
              <w:autoSpaceDN w:val="0"/>
              <w:adjustRightInd w:val="0"/>
              <w:rPr>
                <w:rFonts w:cs="Times-Roman"/>
                <w:sz w:val="22"/>
                <w:szCs w:val="22"/>
              </w:rPr>
            </w:pPr>
            <w:r w:rsidRPr="00D60B09">
              <w:rPr>
                <w:rFonts w:cs="Times-Roman"/>
                <w:sz w:val="22"/>
                <w:szCs w:val="22"/>
              </w:rPr>
              <w:t>Cardiovascular collapse (secondary to bradycardia and hypotension) has been described in all major species. In male large animals, acepromazine may cause protrusion of the penis. In horses, this effect may last 2 hours. Stallions should be given acepromazine with caution as injury to the penis can occur with resultant swelling and permanent paralysis of the penis retractor muscle. Other symptoms that have been reported in horses include excitement, restlessness, sweating, trembling, tachypnea, tachycardia and, rarely, seizures and recumbency.</w:t>
            </w:r>
          </w:p>
          <w:p w:rsidR="00D60B09" w:rsidRPr="00D60B09" w:rsidRDefault="00D60B09" w:rsidP="00D60B09">
            <w:pPr>
              <w:autoSpaceDE w:val="0"/>
              <w:autoSpaceDN w:val="0"/>
              <w:adjustRightInd w:val="0"/>
              <w:rPr>
                <w:rFonts w:cs="Times-Roman"/>
                <w:sz w:val="22"/>
                <w:szCs w:val="22"/>
              </w:rPr>
            </w:pPr>
            <w:r w:rsidRPr="00D60B09">
              <w:rPr>
                <w:rFonts w:cs="Times-Roman"/>
                <w:sz w:val="22"/>
                <w:szCs w:val="22"/>
              </w:rPr>
              <w:t>While acepromazine is a good tranquilizer, its effects of causing penis extension in horses and</w:t>
            </w:r>
          </w:p>
          <w:p w:rsidR="00D60B09" w:rsidRPr="00D60B09" w:rsidRDefault="00D60B09" w:rsidP="00D60B09">
            <w:pPr>
              <w:autoSpaceDE w:val="0"/>
              <w:autoSpaceDN w:val="0"/>
              <w:adjustRightInd w:val="0"/>
              <w:rPr>
                <w:rFonts w:cs="Times-Roman"/>
                <w:sz w:val="22"/>
                <w:szCs w:val="22"/>
              </w:rPr>
            </w:pPr>
            <w:r w:rsidRPr="00D60B09">
              <w:rPr>
                <w:rFonts w:cs="Times-Roman"/>
                <w:sz w:val="22"/>
                <w:szCs w:val="22"/>
              </w:rPr>
              <w:t>prolapse of the membrana nictitans in horses and dogs, may make its use unsuitable for show animals. There are also ethical considerations regarding the use of tranquilizers prior to showing an animal or having the animal examined before sale.</w:t>
            </w:r>
          </w:p>
          <w:p w:rsidR="00D60B09" w:rsidRPr="00D60B09" w:rsidRDefault="00D60B09" w:rsidP="00D60B09">
            <w:pPr>
              <w:autoSpaceDE w:val="0"/>
              <w:autoSpaceDN w:val="0"/>
              <w:adjustRightInd w:val="0"/>
              <w:rPr>
                <w:rFonts w:cs="Times-Roman"/>
                <w:sz w:val="22"/>
                <w:szCs w:val="22"/>
              </w:rPr>
            </w:pPr>
            <w:r w:rsidRPr="00D60B09">
              <w:rPr>
                <w:rFonts w:cs="Times-Roman"/>
                <w:sz w:val="22"/>
                <w:szCs w:val="22"/>
              </w:rPr>
              <w:t>Occasionally an animal may develop the contradictory symptoms of aggressiveness and</w:t>
            </w:r>
          </w:p>
          <w:p w:rsidR="00D60B09" w:rsidRPr="00D60B09" w:rsidRDefault="00D60B09" w:rsidP="00D60B09">
            <w:pPr>
              <w:autoSpaceDE w:val="0"/>
              <w:autoSpaceDN w:val="0"/>
              <w:adjustRightInd w:val="0"/>
              <w:rPr>
                <w:rFonts w:cs="Times-Roman"/>
                <w:sz w:val="22"/>
                <w:szCs w:val="22"/>
              </w:rPr>
            </w:pPr>
            <w:r w:rsidRPr="00D60B09">
              <w:rPr>
                <w:rFonts w:cs="Times-Roman"/>
                <w:sz w:val="22"/>
                <w:szCs w:val="22"/>
              </w:rPr>
              <w:t>generalized CNS stimulation after receiving acepromazine. IM injections may cause transient</w:t>
            </w:r>
          </w:p>
          <w:p w:rsidR="00D60B09" w:rsidRPr="00D60B09" w:rsidRDefault="00D60B09" w:rsidP="00D60B09">
            <w:pPr>
              <w:autoSpaceDE w:val="0"/>
              <w:autoSpaceDN w:val="0"/>
              <w:adjustRightInd w:val="0"/>
              <w:rPr>
                <w:rFonts w:cs="Times-Roman"/>
                <w:sz w:val="22"/>
                <w:szCs w:val="22"/>
              </w:rPr>
            </w:pPr>
            <w:r w:rsidRPr="00D60B09">
              <w:rPr>
                <w:rFonts w:cs="Times-Roman"/>
                <w:sz w:val="22"/>
                <w:szCs w:val="22"/>
              </w:rPr>
              <w:t>pain at the injection site.</w:t>
            </w:r>
          </w:p>
          <w:p w:rsidR="00D60B09" w:rsidRPr="00D60B09" w:rsidRDefault="00D60B09" w:rsidP="00D60B09">
            <w:pPr>
              <w:autoSpaceDE w:val="0"/>
              <w:autoSpaceDN w:val="0"/>
              <w:adjustRightInd w:val="0"/>
              <w:rPr>
                <w:rFonts w:cs="Times-Roman"/>
                <w:sz w:val="22"/>
                <w:szCs w:val="22"/>
              </w:rPr>
            </w:pPr>
          </w:p>
        </w:tc>
      </w:tr>
      <w:bookmarkEnd w:id="0"/>
    </w:tbl>
    <w:p w:rsidR="000B719E" w:rsidRPr="00D60B09" w:rsidRDefault="000B719E" w:rsidP="00D60B09">
      <w:pPr>
        <w:rPr>
          <w:rFonts w:ascii="Cambria" w:hAnsi="Cambria"/>
        </w:rPr>
      </w:pPr>
    </w:p>
    <w:sectPr w:rsidR="000B719E" w:rsidRPr="00D60B09" w:rsidSect="0096095F">
      <w:pgSz w:w="20160" w:h="12240" w:orient="landscape" w:code="5"/>
      <w:pgMar w:top="227" w:right="720" w:bottom="-11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A22" w:rsidRDefault="00967A22" w:rsidP="00A26DEA">
      <w:pPr>
        <w:spacing w:before="0" w:line="240" w:lineRule="auto"/>
      </w:pPr>
      <w:r>
        <w:separator/>
      </w:r>
    </w:p>
  </w:endnote>
  <w:endnote w:type="continuationSeparator" w:id="0">
    <w:p w:rsidR="00967A22" w:rsidRDefault="00967A22" w:rsidP="00A26DE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A22" w:rsidRDefault="00967A22" w:rsidP="00A26DEA">
      <w:pPr>
        <w:spacing w:before="0" w:line="240" w:lineRule="auto"/>
      </w:pPr>
      <w:r>
        <w:separator/>
      </w:r>
    </w:p>
  </w:footnote>
  <w:footnote w:type="continuationSeparator" w:id="0">
    <w:p w:rsidR="00967A22" w:rsidRDefault="00967A22" w:rsidP="00A26DEA">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2A1D"/>
    <w:multiLevelType w:val="hybridMultilevel"/>
    <w:tmpl w:val="AC469F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B1C38"/>
    <w:multiLevelType w:val="hybridMultilevel"/>
    <w:tmpl w:val="8B8036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51415E"/>
    <w:multiLevelType w:val="hybridMultilevel"/>
    <w:tmpl w:val="104813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D7"/>
    <w:rsid w:val="000536D2"/>
    <w:rsid w:val="000B719E"/>
    <w:rsid w:val="00642D7C"/>
    <w:rsid w:val="006B0957"/>
    <w:rsid w:val="00726764"/>
    <w:rsid w:val="007F5BEF"/>
    <w:rsid w:val="0096095F"/>
    <w:rsid w:val="00967A22"/>
    <w:rsid w:val="00A26DEA"/>
    <w:rsid w:val="00A35ED7"/>
    <w:rsid w:val="00A86339"/>
    <w:rsid w:val="00D471A0"/>
    <w:rsid w:val="00D60B09"/>
    <w:rsid w:val="00E573C1"/>
    <w:rsid w:val="00F1753D"/>
    <w:rsid w:val="00F6053A"/>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79C6"/>
  <w15:chartTrackingRefBased/>
  <w15:docId w15:val="{652CA865-114C-40EE-A066-BC84345B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ED7"/>
    <w:pPr>
      <w:spacing w:before="0" w:line="240" w:lineRule="auto"/>
      <w:jc w:val="left"/>
    </w:pPr>
    <w:rPr>
      <w:rFonts w:ascii="Cambria"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BEF"/>
    <w:pPr>
      <w:spacing w:before="0" w:after="200" w:line="276" w:lineRule="auto"/>
      <w:ind w:left="720"/>
      <w:contextualSpacing/>
      <w:jc w:val="left"/>
    </w:pPr>
    <w:rPr>
      <w:rFonts w:ascii="Cambria" w:hAnsi="Cambria"/>
      <w:sz w:val="24"/>
      <w:szCs w:val="24"/>
    </w:rPr>
  </w:style>
  <w:style w:type="table" w:customStyle="1" w:styleId="TableGrid1">
    <w:name w:val="Table Grid1"/>
    <w:basedOn w:val="TableNormal"/>
    <w:next w:val="TableGrid"/>
    <w:uiPriority w:val="59"/>
    <w:rsid w:val="00642D7C"/>
    <w:pPr>
      <w:spacing w:before="0" w:line="240" w:lineRule="auto"/>
      <w:jc w:val="left"/>
    </w:pPr>
    <w:rPr>
      <w:rFonts w:ascii="Cambria"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DE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26DEA"/>
  </w:style>
  <w:style w:type="paragraph" w:styleId="Footer">
    <w:name w:val="footer"/>
    <w:basedOn w:val="Normal"/>
    <w:link w:val="FooterChar"/>
    <w:uiPriority w:val="99"/>
    <w:unhideWhenUsed/>
    <w:rsid w:val="00A26DE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2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4</cp:revision>
  <dcterms:created xsi:type="dcterms:W3CDTF">2018-09-08T04:04:00Z</dcterms:created>
  <dcterms:modified xsi:type="dcterms:W3CDTF">2018-09-08T07:41:00Z</dcterms:modified>
</cp:coreProperties>
</file>