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48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58"/>
        <w:gridCol w:w="1246"/>
        <w:gridCol w:w="3470"/>
        <w:gridCol w:w="1691"/>
        <w:gridCol w:w="2225"/>
        <w:gridCol w:w="2135"/>
        <w:gridCol w:w="2847"/>
        <w:gridCol w:w="3114"/>
      </w:tblGrid>
      <w:tr w:rsidR="001E569D" w:rsidRPr="006F6D5E" w:rsidTr="006B4350">
        <w:trPr>
          <w:trHeight w:val="941"/>
        </w:trPr>
        <w:tc>
          <w:tcPr>
            <w:tcW w:w="2758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Drug</w:t>
            </w:r>
          </w:p>
        </w:tc>
        <w:tc>
          <w:tcPr>
            <w:tcW w:w="1246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Species</w:t>
            </w:r>
          </w:p>
        </w:tc>
        <w:tc>
          <w:tcPr>
            <w:tcW w:w="347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Indications</w:t>
            </w:r>
          </w:p>
        </w:tc>
        <w:tc>
          <w:tcPr>
            <w:tcW w:w="1691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Therapeutic Dose</w:t>
            </w:r>
          </w:p>
        </w:tc>
        <w:tc>
          <w:tcPr>
            <w:tcW w:w="2225" w:type="dxa"/>
          </w:tcPr>
          <w:p w:rsidR="001E569D" w:rsidRPr="006F6D5E" w:rsidRDefault="006B4350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Method of Use</w:t>
            </w:r>
          </w:p>
        </w:tc>
        <w:tc>
          <w:tcPr>
            <w:tcW w:w="2135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Contraindications</w:t>
            </w:r>
          </w:p>
        </w:tc>
        <w:tc>
          <w:tcPr>
            <w:tcW w:w="2847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Pharmacology</w:t>
            </w:r>
          </w:p>
        </w:tc>
        <w:tc>
          <w:tcPr>
            <w:tcW w:w="3114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Adverse Effects</w:t>
            </w:r>
          </w:p>
        </w:tc>
      </w:tr>
      <w:tr w:rsidR="001E569D" w:rsidRPr="006F6D5E" w:rsidTr="006B4350">
        <w:trPr>
          <w:trHeight w:val="10240"/>
        </w:trPr>
        <w:tc>
          <w:tcPr>
            <w:tcW w:w="2758" w:type="dxa"/>
          </w:tcPr>
          <w:p w:rsidR="006F6D5E" w:rsidRPr="006B4350" w:rsidRDefault="006B4350" w:rsidP="006F6D5E">
            <w:pPr>
              <w:ind w:left="-108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 xml:space="preserve">Iron Dextran 20% </w:t>
            </w:r>
          </w:p>
          <w:p w:rsidR="006B4350" w:rsidRPr="006B4350" w:rsidRDefault="006B4350" w:rsidP="006F6D5E">
            <w:pPr>
              <w:ind w:left="-108"/>
              <w:rPr>
                <w:rFonts w:asciiTheme="majorHAnsi" w:hAnsiTheme="majorHAnsi"/>
              </w:rPr>
            </w:pPr>
          </w:p>
          <w:p w:rsidR="006B4350" w:rsidRPr="006B4350" w:rsidRDefault="006B4350" w:rsidP="006F6D5E">
            <w:pPr>
              <w:ind w:left="-108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>
                  <wp:extent cx="1493583" cy="2351314"/>
                  <wp:effectExtent l="19050" t="0" r="0" b="0"/>
                  <wp:docPr id="3" name="Picture 1" descr="E:\Dr. Diptee Introduction and Lab 1\las\Drugs\IMG_20180904_144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r. Diptee Introduction and Lab 1\las\Drugs\IMG_20180904_144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210" t="33043" r="58898" b="22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83" cy="235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:rsidR="001E569D" w:rsidRPr="006B4350" w:rsidRDefault="006B4350">
            <w:pPr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Swine</w:t>
            </w:r>
          </w:p>
        </w:tc>
        <w:tc>
          <w:tcPr>
            <w:tcW w:w="3470" w:type="dxa"/>
          </w:tcPr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Iron dextran is used in the treatment and prophylaxis of iron deficiency</w:t>
            </w:r>
          </w:p>
          <w:p w:rsidR="001E569D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anemias, primarily in neonatal food-producing animals.</w:t>
            </w:r>
          </w:p>
        </w:tc>
        <w:tc>
          <w:tcPr>
            <w:tcW w:w="1691" w:type="dxa"/>
          </w:tcPr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For prevention or iron deficiency anemia in baby pigs (1-3 days of age): 100 - 150 mg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of elemental iron IM per pig.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For treatment of iron deficiency anemia in baby pigs: 100 - 200 mg of elemental iron</w:t>
            </w:r>
          </w:p>
          <w:p w:rsidR="001E569D" w:rsidRPr="006B4350" w:rsidRDefault="006B4350" w:rsidP="006B4350">
            <w:pPr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 xml:space="preserve">IM per pig. May repeat in 10-14 days. </w:t>
            </w:r>
          </w:p>
        </w:tc>
        <w:tc>
          <w:tcPr>
            <w:tcW w:w="2225" w:type="dxa"/>
          </w:tcPr>
          <w:p w:rsidR="006B4350" w:rsidRPr="006B4350" w:rsidRDefault="006B4350" w:rsidP="006B4350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Disinfect rubber stopper of vial as well as site of injection. Use small needle (20 gauge, 5/8 inch) that has been sterilized (boiled in water for 20 minutes). Injection should be intramuscular into the back of the ham.</w:t>
            </w:r>
          </w:p>
          <w:p w:rsidR="006B4350" w:rsidRPr="006B4350" w:rsidRDefault="006B4350" w:rsidP="006B4350">
            <w:pPr>
              <w:shd w:val="clear" w:color="auto" w:fill="FFFFFF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27859" cy="1353787"/>
                  <wp:effectExtent l="19050" t="0" r="0" b="0"/>
                  <wp:docPr id="7" name="Picture 2" descr="https://www.drugs.com/vet/images/1094247_1094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rugs.com/vet/images/1094247_1094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2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59" cy="1353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69D" w:rsidRPr="006B4350" w:rsidRDefault="006B4350" w:rsidP="006F6D5E">
            <w:pPr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373093" cy="1353787"/>
                  <wp:effectExtent l="19050" t="0" r="0" b="0"/>
                  <wp:docPr id="8" name="Picture 2" descr="https://www.drugs.com/vet/images/1094247_1094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rugs.com/vet/images/1094247_1094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93" cy="1353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Iron dextran is contraindicated in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patients with known hypersensitivity to it, or with any anemia other than iron deficiency anemia.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It is also not to be used in patients with acute renal infections, and should not be used in</w:t>
            </w:r>
          </w:p>
          <w:p w:rsidR="001E569D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conjunction with oral iron supplements.</w:t>
            </w:r>
          </w:p>
        </w:tc>
        <w:tc>
          <w:tcPr>
            <w:tcW w:w="2847" w:type="dxa"/>
          </w:tcPr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Iron is necessary for myoglobin and hemoglobin in the transport and utilization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of oxygen. While neither stimulating erythropoiesis nor correcting hemoglobin abnormalities not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caused by iron deficiency, iron administration does correct both physical symptoms and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decreased hemoglobin levels secondary to iron deficiency.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Ionized iron is also a component in the enzymes cytochrome oxidase, succinic dehydrogenase,</w:t>
            </w:r>
          </w:p>
          <w:p w:rsidR="001E569D" w:rsidRPr="006B4350" w:rsidRDefault="006B4350" w:rsidP="006B4350">
            <w:pPr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and xanthine oxidase.</w:t>
            </w:r>
          </w:p>
        </w:tc>
        <w:tc>
          <w:tcPr>
            <w:tcW w:w="3114" w:type="dxa"/>
          </w:tcPr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The manufacturers of iron dextran injection for use in pigs state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that occasionally pigs may react after injection with iron dextran, characterized by prostration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and muscular weakness. Rarely, death may result as a result of an anaphylactoid reaction. Iron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dextran used in pigs born of vitamin E/selenium-deficient sows may demonstrate nausea,</w:t>
            </w:r>
          </w:p>
          <w:p w:rsidR="006B4350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vomiting and sudden death within 1 hour of injection. Iron dextran injected IM in pigs after 4</w:t>
            </w:r>
          </w:p>
          <w:p w:rsidR="001E569D" w:rsidRPr="006B4350" w:rsidRDefault="006B4350" w:rsidP="006B435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4350">
              <w:rPr>
                <w:rFonts w:asciiTheme="majorHAnsi" w:hAnsiTheme="majorHAnsi"/>
              </w:rPr>
              <w:t>weeks of age may cause muscle tissue staining.</w:t>
            </w:r>
          </w:p>
        </w:tc>
      </w:tr>
    </w:tbl>
    <w:p w:rsidR="006B4350" w:rsidRPr="006F6D5E" w:rsidRDefault="006B4350" w:rsidP="006F6D5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6B4350" w:rsidRPr="006F6D5E" w:rsidSect="001E569D">
      <w:pgSz w:w="20160" w:h="12240" w:orient="landscape" w:code="5"/>
      <w:pgMar w:top="36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BE" w:rsidRDefault="00D51EBE" w:rsidP="001E569D">
      <w:pPr>
        <w:spacing w:after="0" w:line="240" w:lineRule="auto"/>
      </w:pPr>
      <w:r>
        <w:separator/>
      </w:r>
    </w:p>
  </w:endnote>
  <w:endnote w:type="continuationSeparator" w:id="0">
    <w:p w:rsidR="00D51EBE" w:rsidRDefault="00D51EBE" w:rsidP="001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BE" w:rsidRDefault="00D51EBE" w:rsidP="001E569D">
      <w:pPr>
        <w:spacing w:after="0" w:line="240" w:lineRule="auto"/>
      </w:pPr>
      <w:r>
        <w:separator/>
      </w:r>
    </w:p>
  </w:footnote>
  <w:footnote w:type="continuationSeparator" w:id="0">
    <w:p w:rsidR="00D51EBE" w:rsidRDefault="00D51EBE" w:rsidP="001E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9FD"/>
    <w:multiLevelType w:val="hybridMultilevel"/>
    <w:tmpl w:val="DD72E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36F2"/>
    <w:multiLevelType w:val="hybridMultilevel"/>
    <w:tmpl w:val="BEB84560"/>
    <w:lvl w:ilvl="0" w:tplc="DA964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1616"/>
    <w:multiLevelType w:val="hybridMultilevel"/>
    <w:tmpl w:val="9C26F350"/>
    <w:lvl w:ilvl="0" w:tplc="74848C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26E"/>
    <w:multiLevelType w:val="hybridMultilevel"/>
    <w:tmpl w:val="86EEB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DD1"/>
    <w:rsid w:val="001044E9"/>
    <w:rsid w:val="00105717"/>
    <w:rsid w:val="001E0472"/>
    <w:rsid w:val="001E569D"/>
    <w:rsid w:val="0033317B"/>
    <w:rsid w:val="006B4350"/>
    <w:rsid w:val="006D0689"/>
    <w:rsid w:val="006F6D5E"/>
    <w:rsid w:val="007D44F1"/>
    <w:rsid w:val="007F493B"/>
    <w:rsid w:val="00882DD1"/>
    <w:rsid w:val="00892D2F"/>
    <w:rsid w:val="0093134A"/>
    <w:rsid w:val="00970CAA"/>
    <w:rsid w:val="00A435F4"/>
    <w:rsid w:val="00AD7CE2"/>
    <w:rsid w:val="00D51EBE"/>
    <w:rsid w:val="00DB1635"/>
    <w:rsid w:val="00ED0441"/>
    <w:rsid w:val="00EF14B5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55D"/>
  <w15:docId w15:val="{851DE9F8-D14E-4EE7-B09E-4BE0007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41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D1"/>
    <w:rPr>
      <w:rFonts w:ascii="Tahoma" w:hAnsi="Tahoma" w:cs="Tahoma"/>
      <w:sz w:val="16"/>
      <w:szCs w:val="16"/>
      <w:lang w:val="en-TT"/>
    </w:rPr>
  </w:style>
  <w:style w:type="paragraph" w:styleId="NormalWeb">
    <w:name w:val="Normal (Web)"/>
    <w:basedOn w:val="Normal"/>
    <w:uiPriority w:val="99"/>
    <w:unhideWhenUsed/>
    <w:rsid w:val="008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69D"/>
    <w:rPr>
      <w:lang w:val="en-TT"/>
    </w:rPr>
  </w:style>
  <w:style w:type="paragraph" w:styleId="Footer">
    <w:name w:val="footer"/>
    <w:basedOn w:val="Normal"/>
    <w:link w:val="FooterChar"/>
    <w:uiPriority w:val="99"/>
    <w:semiHidden/>
    <w:unhideWhenUsed/>
    <w:rsid w:val="001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69D"/>
    <w:rPr>
      <w:lang w:val="en-TT"/>
    </w:rPr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Maharaj</dc:creator>
  <cp:lastModifiedBy>Krystal Maharaj</cp:lastModifiedBy>
  <cp:revision>2</cp:revision>
  <dcterms:created xsi:type="dcterms:W3CDTF">2018-09-08T03:32:00Z</dcterms:created>
  <dcterms:modified xsi:type="dcterms:W3CDTF">2018-09-08T03:32:00Z</dcterms:modified>
</cp:coreProperties>
</file>