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9426" w:type="dxa"/>
        <w:tblInd w:w="-252" w:type="dxa"/>
        <w:tblLayout w:type="fixed"/>
        <w:tblLook w:val="04A0" w:firstRow="1" w:lastRow="0" w:firstColumn="1" w:lastColumn="0" w:noHBand="0" w:noVBand="1"/>
      </w:tblPr>
      <w:tblGrid>
        <w:gridCol w:w="2750"/>
        <w:gridCol w:w="1241"/>
        <w:gridCol w:w="2210"/>
        <w:gridCol w:w="1819"/>
        <w:gridCol w:w="1866"/>
        <w:gridCol w:w="2835"/>
        <w:gridCol w:w="4536"/>
        <w:gridCol w:w="2169"/>
      </w:tblGrid>
      <w:tr w:rsidR="001E569D" w:rsidRPr="004E7B26" w:rsidTr="004E7B26">
        <w:trPr>
          <w:trHeight w:val="663"/>
        </w:trPr>
        <w:tc>
          <w:tcPr>
            <w:tcW w:w="2750" w:type="dxa"/>
          </w:tcPr>
          <w:p w:rsidR="001E569D" w:rsidRPr="004E7B26" w:rsidRDefault="001E569D" w:rsidP="00DA75AC">
            <w:pPr>
              <w:rPr>
                <w:rFonts w:asciiTheme="majorHAnsi" w:hAnsiTheme="majorHAnsi"/>
                <w:b/>
              </w:rPr>
            </w:pPr>
            <w:r w:rsidRPr="004E7B26">
              <w:rPr>
                <w:rFonts w:asciiTheme="majorHAnsi" w:hAnsiTheme="majorHAnsi"/>
                <w:b/>
              </w:rPr>
              <w:t>Drug</w:t>
            </w:r>
          </w:p>
        </w:tc>
        <w:tc>
          <w:tcPr>
            <w:tcW w:w="1241" w:type="dxa"/>
          </w:tcPr>
          <w:p w:rsidR="001E569D" w:rsidRPr="004E7B26" w:rsidRDefault="001E569D" w:rsidP="00DA75AC">
            <w:pPr>
              <w:rPr>
                <w:rFonts w:asciiTheme="majorHAnsi" w:hAnsiTheme="majorHAnsi"/>
                <w:b/>
              </w:rPr>
            </w:pPr>
            <w:r w:rsidRPr="004E7B26">
              <w:rPr>
                <w:rFonts w:asciiTheme="majorHAnsi" w:hAnsiTheme="majorHAnsi"/>
                <w:b/>
              </w:rPr>
              <w:t>Species</w:t>
            </w:r>
          </w:p>
        </w:tc>
        <w:tc>
          <w:tcPr>
            <w:tcW w:w="2210" w:type="dxa"/>
          </w:tcPr>
          <w:p w:rsidR="001E569D" w:rsidRPr="004E7B26" w:rsidRDefault="001E569D" w:rsidP="00DA75AC">
            <w:pPr>
              <w:rPr>
                <w:rFonts w:asciiTheme="majorHAnsi" w:hAnsiTheme="majorHAnsi"/>
                <w:b/>
              </w:rPr>
            </w:pPr>
            <w:r w:rsidRPr="004E7B26">
              <w:rPr>
                <w:rFonts w:asciiTheme="majorHAnsi" w:hAnsiTheme="majorHAnsi"/>
                <w:b/>
              </w:rPr>
              <w:t>Indications</w:t>
            </w:r>
          </w:p>
        </w:tc>
        <w:tc>
          <w:tcPr>
            <w:tcW w:w="1819" w:type="dxa"/>
          </w:tcPr>
          <w:p w:rsidR="001E569D" w:rsidRPr="004E7B26" w:rsidRDefault="001E569D" w:rsidP="00DA75AC">
            <w:pPr>
              <w:rPr>
                <w:rFonts w:asciiTheme="majorHAnsi" w:hAnsiTheme="majorHAnsi"/>
                <w:b/>
              </w:rPr>
            </w:pPr>
            <w:r w:rsidRPr="004E7B26">
              <w:rPr>
                <w:rFonts w:asciiTheme="majorHAnsi" w:hAnsiTheme="majorHAnsi"/>
                <w:b/>
              </w:rPr>
              <w:t>Therapeutic Dose</w:t>
            </w:r>
          </w:p>
        </w:tc>
        <w:tc>
          <w:tcPr>
            <w:tcW w:w="1866" w:type="dxa"/>
          </w:tcPr>
          <w:p w:rsidR="001E569D" w:rsidRPr="004E7B26" w:rsidRDefault="001E569D" w:rsidP="00DA75AC">
            <w:pPr>
              <w:rPr>
                <w:rFonts w:asciiTheme="majorHAnsi" w:hAnsiTheme="majorHAnsi"/>
                <w:b/>
              </w:rPr>
            </w:pPr>
            <w:r w:rsidRPr="004E7B26">
              <w:rPr>
                <w:rFonts w:asciiTheme="majorHAnsi" w:hAnsiTheme="majorHAnsi"/>
                <w:b/>
              </w:rPr>
              <w:t>Lethal Dose/ Toxicity</w:t>
            </w:r>
          </w:p>
        </w:tc>
        <w:tc>
          <w:tcPr>
            <w:tcW w:w="2835" w:type="dxa"/>
          </w:tcPr>
          <w:p w:rsidR="001E569D" w:rsidRPr="004E7B26" w:rsidRDefault="001E569D" w:rsidP="00DA75AC">
            <w:pPr>
              <w:rPr>
                <w:rFonts w:asciiTheme="majorHAnsi" w:hAnsiTheme="majorHAnsi"/>
                <w:b/>
              </w:rPr>
            </w:pPr>
            <w:r w:rsidRPr="004E7B26">
              <w:rPr>
                <w:rFonts w:asciiTheme="majorHAnsi" w:hAnsiTheme="majorHAnsi"/>
                <w:b/>
              </w:rPr>
              <w:t>Contraindications</w:t>
            </w:r>
          </w:p>
        </w:tc>
        <w:tc>
          <w:tcPr>
            <w:tcW w:w="4536" w:type="dxa"/>
          </w:tcPr>
          <w:p w:rsidR="001E569D" w:rsidRPr="004E7B26" w:rsidRDefault="001E569D" w:rsidP="00DA75AC">
            <w:pPr>
              <w:rPr>
                <w:rFonts w:asciiTheme="majorHAnsi" w:hAnsiTheme="majorHAnsi"/>
                <w:b/>
              </w:rPr>
            </w:pPr>
            <w:r w:rsidRPr="004E7B26">
              <w:rPr>
                <w:rFonts w:asciiTheme="majorHAnsi" w:hAnsiTheme="majorHAnsi"/>
                <w:b/>
              </w:rPr>
              <w:t>Pharmacology</w:t>
            </w:r>
          </w:p>
        </w:tc>
        <w:tc>
          <w:tcPr>
            <w:tcW w:w="2169" w:type="dxa"/>
          </w:tcPr>
          <w:p w:rsidR="001E569D" w:rsidRPr="004E7B26" w:rsidRDefault="001E569D" w:rsidP="00DA75AC">
            <w:pPr>
              <w:rPr>
                <w:rFonts w:asciiTheme="majorHAnsi" w:hAnsiTheme="majorHAnsi"/>
                <w:b/>
              </w:rPr>
            </w:pPr>
            <w:r w:rsidRPr="004E7B26">
              <w:rPr>
                <w:rFonts w:asciiTheme="majorHAnsi" w:hAnsiTheme="majorHAnsi"/>
                <w:b/>
              </w:rPr>
              <w:t>Adverse Effects</w:t>
            </w:r>
          </w:p>
        </w:tc>
      </w:tr>
      <w:tr w:rsidR="00061D9D" w:rsidRPr="004E7B26" w:rsidTr="004E7B26">
        <w:trPr>
          <w:trHeight w:val="7227"/>
        </w:trPr>
        <w:tc>
          <w:tcPr>
            <w:tcW w:w="2750" w:type="dxa"/>
          </w:tcPr>
          <w:p w:rsidR="003371F1" w:rsidRPr="004E7B26" w:rsidRDefault="00163CBB" w:rsidP="00061D9D">
            <w:pPr>
              <w:ind w:left="-108"/>
              <w:rPr>
                <w:rFonts w:asciiTheme="majorHAnsi" w:hAnsiTheme="majorHAnsi"/>
              </w:rPr>
            </w:pPr>
            <w:r w:rsidRPr="004E7B26">
              <w:rPr>
                <w:rFonts w:asciiTheme="majorHAnsi" w:hAnsiTheme="majorHAnsi"/>
              </w:rPr>
              <w:t>Tylosin 200</w:t>
            </w:r>
          </w:p>
          <w:p w:rsidR="004E7B26" w:rsidRPr="004E7B26" w:rsidRDefault="004E7B26" w:rsidP="00061D9D">
            <w:pPr>
              <w:ind w:left="-108"/>
              <w:rPr>
                <w:rFonts w:asciiTheme="majorHAnsi" w:hAnsiTheme="majorHAnsi"/>
              </w:rPr>
            </w:pPr>
          </w:p>
          <w:p w:rsidR="00163CBB" w:rsidRPr="004E7B26" w:rsidRDefault="004E7B26" w:rsidP="00061D9D">
            <w:pPr>
              <w:ind w:left="-108"/>
              <w:rPr>
                <w:rFonts w:asciiTheme="majorHAnsi" w:hAnsiTheme="majorHAnsi"/>
              </w:rPr>
            </w:pPr>
            <w:r w:rsidRPr="004E7B26">
              <w:rPr>
                <w:noProof/>
              </w:rPr>
              <w:drawing>
                <wp:inline distT="0" distB="0" distL="0" distR="0">
                  <wp:extent cx="1483995" cy="2446317"/>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1569" t="32601" r="-70" b="26734"/>
                          <a:stretch/>
                        </pic:blipFill>
                        <pic:spPr bwMode="auto">
                          <a:xfrm>
                            <a:off x="0" y="0"/>
                            <a:ext cx="1495704" cy="24656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41" w:type="dxa"/>
          </w:tcPr>
          <w:p w:rsidR="00061D9D" w:rsidRPr="004E7B26" w:rsidRDefault="004E7B26" w:rsidP="00061D9D">
            <w:pPr>
              <w:rPr>
                <w:rFonts w:asciiTheme="majorHAnsi" w:hAnsiTheme="majorHAnsi"/>
              </w:rPr>
            </w:pPr>
            <w:r w:rsidRPr="004E7B26">
              <w:rPr>
                <w:rFonts w:asciiTheme="majorHAnsi" w:hAnsiTheme="majorHAnsi"/>
              </w:rPr>
              <w:t>Cattle, Swine, Sheep and Goats</w:t>
            </w:r>
          </w:p>
        </w:tc>
        <w:tc>
          <w:tcPr>
            <w:tcW w:w="2210" w:type="dxa"/>
          </w:tcPr>
          <w:p w:rsidR="004E7B26" w:rsidRPr="004E7B26" w:rsidRDefault="004E7B26" w:rsidP="004E7B26">
            <w:pPr>
              <w:autoSpaceDE w:val="0"/>
              <w:autoSpaceDN w:val="0"/>
              <w:adjustRightInd w:val="0"/>
              <w:rPr>
                <w:rFonts w:asciiTheme="majorHAnsi" w:hAnsiTheme="majorHAnsi" w:cs="Times-Roman"/>
              </w:rPr>
            </w:pPr>
            <w:r w:rsidRPr="004E7B26">
              <w:rPr>
                <w:rFonts w:asciiTheme="majorHAnsi" w:hAnsiTheme="majorHAnsi" w:cs="Times-Roman"/>
              </w:rPr>
              <w:t>Tylosin is also used in clinically in cattle and swine for infections caused by susceptible</w:t>
            </w:r>
          </w:p>
          <w:p w:rsidR="00061D9D" w:rsidRPr="004E7B26" w:rsidRDefault="004E7B26" w:rsidP="004E7B26">
            <w:pPr>
              <w:autoSpaceDE w:val="0"/>
              <w:autoSpaceDN w:val="0"/>
              <w:adjustRightInd w:val="0"/>
              <w:rPr>
                <w:rFonts w:asciiTheme="majorHAnsi" w:hAnsiTheme="majorHAnsi" w:cs="Times-Roman"/>
                <w:lang w:val="en-US"/>
              </w:rPr>
            </w:pPr>
            <w:r w:rsidRPr="004E7B26">
              <w:rPr>
                <w:rFonts w:asciiTheme="majorHAnsi" w:hAnsiTheme="majorHAnsi" w:cs="Times-Roman"/>
              </w:rPr>
              <w:t>organisms</w:t>
            </w:r>
          </w:p>
        </w:tc>
        <w:tc>
          <w:tcPr>
            <w:tcW w:w="1819" w:type="dxa"/>
          </w:tcPr>
          <w:p w:rsidR="00381560" w:rsidRPr="004E7B26" w:rsidRDefault="004E7B26" w:rsidP="00E357C3">
            <w:pPr>
              <w:rPr>
                <w:rFonts w:asciiTheme="majorHAnsi" w:hAnsiTheme="majorHAnsi" w:cs="Times-Roman"/>
                <w:lang w:val="en-US"/>
              </w:rPr>
            </w:pPr>
            <w:r w:rsidRPr="004E7B26">
              <w:rPr>
                <w:rFonts w:asciiTheme="majorHAnsi" w:hAnsiTheme="majorHAnsi" w:cs="Times-Roman"/>
                <w:lang w:val="en-US"/>
              </w:rPr>
              <w:t>Cattle:</w:t>
            </w:r>
          </w:p>
          <w:p w:rsidR="004E7B26" w:rsidRPr="004E7B26" w:rsidRDefault="004E7B26" w:rsidP="00E357C3">
            <w:pPr>
              <w:rPr>
                <w:rFonts w:ascii="Times-Roman" w:hAnsi="Times-Roman" w:cs="Times-Roman"/>
              </w:rPr>
            </w:pPr>
            <w:r w:rsidRPr="004E7B26">
              <w:rPr>
                <w:rFonts w:ascii="Times-Roman" w:hAnsi="Times-Roman" w:cs="Times-Roman"/>
              </w:rPr>
              <w:t>17.6 mg/kg IM once daily</w:t>
            </w:r>
          </w:p>
          <w:p w:rsidR="004E7B26" w:rsidRPr="004E7B26" w:rsidRDefault="004E7B26" w:rsidP="00E357C3">
            <w:pPr>
              <w:rPr>
                <w:rFonts w:ascii="Times-Roman" w:hAnsi="Times-Roman" w:cs="Times-Roman"/>
              </w:rPr>
            </w:pPr>
          </w:p>
          <w:p w:rsidR="004E7B26" w:rsidRPr="004E7B26" w:rsidRDefault="004E7B26" w:rsidP="00E357C3">
            <w:pPr>
              <w:rPr>
                <w:rFonts w:ascii="Times-Roman" w:hAnsi="Times-Roman" w:cs="Times-Roman"/>
              </w:rPr>
            </w:pPr>
            <w:r w:rsidRPr="004E7B26">
              <w:rPr>
                <w:rFonts w:ascii="Times-Roman" w:hAnsi="Times-Roman" w:cs="Times-Roman"/>
              </w:rPr>
              <w:t>Swine:</w:t>
            </w:r>
          </w:p>
          <w:p w:rsidR="004E7B26" w:rsidRPr="004E7B26" w:rsidRDefault="004E7B26" w:rsidP="00E357C3">
            <w:pPr>
              <w:rPr>
                <w:rFonts w:ascii="Times-Roman" w:hAnsi="Times-Roman" w:cs="Times-Roman"/>
              </w:rPr>
            </w:pPr>
            <w:r w:rsidRPr="004E7B26">
              <w:rPr>
                <w:rFonts w:ascii="Times-Roman" w:hAnsi="Times-Roman" w:cs="Times-Roman"/>
              </w:rPr>
              <w:t>8.8 mg/kg IM twice daily</w:t>
            </w:r>
          </w:p>
          <w:p w:rsidR="004E7B26" w:rsidRPr="004E7B26" w:rsidRDefault="004E7B26" w:rsidP="00E357C3">
            <w:pPr>
              <w:rPr>
                <w:rFonts w:ascii="Times-Roman" w:hAnsi="Times-Roman" w:cs="Times-Roman"/>
              </w:rPr>
            </w:pPr>
          </w:p>
          <w:p w:rsidR="004E7B26" w:rsidRPr="004E7B26" w:rsidRDefault="004E7B26" w:rsidP="00E357C3">
            <w:pPr>
              <w:rPr>
                <w:rFonts w:ascii="Times-Roman" w:hAnsi="Times-Roman" w:cs="Times-Roman"/>
              </w:rPr>
            </w:pPr>
            <w:r w:rsidRPr="004E7B26">
              <w:rPr>
                <w:rFonts w:ascii="Times-Roman" w:hAnsi="Times-Roman" w:cs="Times-Roman"/>
              </w:rPr>
              <w:t>Sheep and Goats:</w:t>
            </w:r>
          </w:p>
          <w:p w:rsidR="004E7B26" w:rsidRPr="004E7B26" w:rsidRDefault="004E7B26" w:rsidP="00E357C3">
            <w:pPr>
              <w:rPr>
                <w:rFonts w:ascii="Times-Roman" w:hAnsi="Times-Roman" w:cs="Times-Roman"/>
              </w:rPr>
            </w:pPr>
            <w:r w:rsidRPr="004E7B26">
              <w:rPr>
                <w:rFonts w:ascii="Times-Roman" w:hAnsi="Times-Roman" w:cs="Times-Roman"/>
              </w:rPr>
              <w:t>10 mg/kg, treatment not to exceed 5 days</w:t>
            </w:r>
          </w:p>
          <w:p w:rsidR="004E7B26" w:rsidRPr="004E7B26" w:rsidRDefault="004E7B26" w:rsidP="00E357C3">
            <w:pPr>
              <w:rPr>
                <w:rFonts w:asciiTheme="majorHAnsi" w:hAnsiTheme="majorHAnsi" w:cs="Times-Roman"/>
                <w:lang w:val="en-US"/>
              </w:rPr>
            </w:pPr>
          </w:p>
        </w:tc>
        <w:tc>
          <w:tcPr>
            <w:tcW w:w="1866" w:type="dxa"/>
          </w:tcPr>
          <w:p w:rsidR="004E7B26" w:rsidRPr="004E7B26" w:rsidRDefault="004E7B26" w:rsidP="004E7B26">
            <w:pPr>
              <w:autoSpaceDE w:val="0"/>
              <w:autoSpaceDN w:val="0"/>
              <w:adjustRightInd w:val="0"/>
              <w:rPr>
                <w:rFonts w:asciiTheme="majorHAnsi" w:hAnsiTheme="majorHAnsi" w:cs="Times-Roman"/>
              </w:rPr>
            </w:pPr>
            <w:r w:rsidRPr="004E7B26">
              <w:rPr>
                <w:rFonts w:asciiTheme="majorHAnsi" w:hAnsiTheme="majorHAnsi" w:cs="Times-Roman"/>
              </w:rPr>
              <w:t>Tylosin is relatively safe in most overdose situations. The LD</w:t>
            </w:r>
            <w:r w:rsidRPr="004E7B26">
              <w:rPr>
                <w:rFonts w:asciiTheme="majorHAnsi" w:hAnsiTheme="majorHAnsi" w:cs="Times-Roman"/>
                <w:vertAlign w:val="subscript"/>
              </w:rPr>
              <w:t>50</w:t>
            </w:r>
            <w:r w:rsidRPr="004E7B26">
              <w:rPr>
                <w:rFonts w:asciiTheme="majorHAnsi" w:hAnsiTheme="majorHAnsi" w:cs="Times-Roman"/>
              </w:rPr>
              <w:t xml:space="preserve"> in pigs is greater than 5 g/kg orally, and approximately 1 g/kg IM. </w:t>
            </w:r>
          </w:p>
          <w:p w:rsidR="004E7B26" w:rsidRDefault="004E7B26" w:rsidP="004E7B26">
            <w:pPr>
              <w:autoSpaceDE w:val="0"/>
              <w:autoSpaceDN w:val="0"/>
              <w:adjustRightInd w:val="0"/>
              <w:rPr>
                <w:rFonts w:ascii="Times-Roman" w:hAnsi="Times-Roman" w:cs="Times-Roman"/>
              </w:rPr>
            </w:pPr>
            <w:r>
              <w:rPr>
                <w:rFonts w:ascii="Times-Roman" w:hAnsi="Times-Roman" w:cs="Times-Roman"/>
              </w:rPr>
              <w:t>Shock and death have been reported in baby pigs overdosed with tylosin,</w:t>
            </w:r>
          </w:p>
          <w:p w:rsidR="004E7B26" w:rsidRPr="004E7B26" w:rsidRDefault="004E7B26" w:rsidP="004E7B26">
            <w:pPr>
              <w:autoSpaceDE w:val="0"/>
              <w:autoSpaceDN w:val="0"/>
              <w:adjustRightInd w:val="0"/>
              <w:rPr>
                <w:rFonts w:asciiTheme="majorHAnsi" w:hAnsiTheme="majorHAnsi" w:cs="Times-Roman"/>
                <w:lang w:val="en-US"/>
              </w:rPr>
            </w:pPr>
            <w:r>
              <w:rPr>
                <w:rFonts w:ascii="Times-Roman" w:hAnsi="Times-Roman" w:cs="Times-Roman"/>
              </w:rPr>
              <w:t>however.</w:t>
            </w:r>
          </w:p>
          <w:p w:rsidR="00E357C3" w:rsidRPr="004E7B26" w:rsidRDefault="00E357C3" w:rsidP="004E7B26">
            <w:pPr>
              <w:autoSpaceDE w:val="0"/>
              <w:autoSpaceDN w:val="0"/>
              <w:adjustRightInd w:val="0"/>
              <w:rPr>
                <w:rFonts w:asciiTheme="majorHAnsi" w:hAnsiTheme="majorHAnsi" w:cs="Times-Roman"/>
                <w:lang w:val="en-US"/>
              </w:rPr>
            </w:pPr>
          </w:p>
        </w:tc>
        <w:tc>
          <w:tcPr>
            <w:tcW w:w="2835" w:type="dxa"/>
          </w:tcPr>
          <w:p w:rsidR="004E7B26" w:rsidRDefault="004E7B26" w:rsidP="004E7B26">
            <w:pPr>
              <w:autoSpaceDE w:val="0"/>
              <w:autoSpaceDN w:val="0"/>
              <w:adjustRightInd w:val="0"/>
              <w:rPr>
                <w:rFonts w:ascii="Times-Roman" w:hAnsi="Times-Roman" w:cs="Times-Roman"/>
              </w:rPr>
            </w:pPr>
            <w:r>
              <w:rPr>
                <w:rFonts w:ascii="Times-Roman" w:hAnsi="Times-Roman" w:cs="Times-Roman"/>
              </w:rPr>
              <w:t>Tylosin is contraindicated in patients</w:t>
            </w:r>
          </w:p>
          <w:p w:rsidR="004E7B26" w:rsidRDefault="004E7B26" w:rsidP="004E7B26">
            <w:pPr>
              <w:autoSpaceDE w:val="0"/>
              <w:autoSpaceDN w:val="0"/>
              <w:adjustRightInd w:val="0"/>
              <w:rPr>
                <w:rFonts w:ascii="Times-Roman" w:hAnsi="Times-Roman" w:cs="Times-Roman"/>
              </w:rPr>
            </w:pPr>
            <w:r>
              <w:rPr>
                <w:rFonts w:ascii="Times-Roman" w:hAnsi="Times-Roman" w:cs="Times-Roman"/>
              </w:rPr>
              <w:t>hypersensitive to it or other macrolide antibiotics (</w:t>
            </w:r>
            <w:r>
              <w:rPr>
                <w:rFonts w:ascii="Times-Italic" w:hAnsi="Times-Italic" w:cs="Times-Italic"/>
                <w:i/>
                <w:iCs/>
              </w:rPr>
              <w:t xml:space="preserve">e.g., </w:t>
            </w:r>
            <w:r>
              <w:rPr>
                <w:rFonts w:ascii="Times-Roman" w:hAnsi="Times-Roman" w:cs="Times-Roman"/>
              </w:rPr>
              <w:t>erythromycin). Most clinicians feel that tylosin is contraindicated in horses, as severe and sometimes fatal diarrheas may result from its use in that species.</w:t>
            </w:r>
          </w:p>
          <w:p w:rsidR="004E7B26" w:rsidRDefault="004E7B26" w:rsidP="004E7B26">
            <w:pPr>
              <w:autoSpaceDE w:val="0"/>
              <w:autoSpaceDN w:val="0"/>
              <w:adjustRightInd w:val="0"/>
              <w:rPr>
                <w:rFonts w:ascii="Times-Roman" w:hAnsi="Times-Roman" w:cs="Times-Roman"/>
              </w:rPr>
            </w:pPr>
            <w:r>
              <w:rPr>
                <w:rFonts w:ascii="Times-Roman" w:hAnsi="Times-Roman" w:cs="Times-Roman"/>
              </w:rPr>
              <w:t>No information was located with regards to the reproductive safety of tylosin, but it is unlikely</w:t>
            </w:r>
          </w:p>
          <w:p w:rsidR="00061D9D" w:rsidRPr="004E7B26" w:rsidRDefault="004E7B26" w:rsidP="004E7B26">
            <w:pPr>
              <w:rPr>
                <w:rFonts w:cs="Times New Roman"/>
              </w:rPr>
            </w:pPr>
            <w:r>
              <w:rPr>
                <w:rFonts w:ascii="Times-Roman" w:hAnsi="Times-Roman" w:cs="Times-Roman"/>
              </w:rPr>
              <w:t>to have serious teratogenic potential.</w:t>
            </w:r>
          </w:p>
        </w:tc>
        <w:tc>
          <w:tcPr>
            <w:tcW w:w="4536" w:type="dxa"/>
          </w:tcPr>
          <w:p w:rsidR="004E7B26" w:rsidRPr="004E7B26" w:rsidRDefault="004E7B26" w:rsidP="004E7B26">
            <w:pPr>
              <w:rPr>
                <w:rFonts w:asciiTheme="majorHAnsi" w:hAnsiTheme="majorHAnsi" w:cs="Times-Roman"/>
              </w:rPr>
            </w:pPr>
            <w:r w:rsidRPr="004E7B26">
              <w:rPr>
                <w:rFonts w:asciiTheme="majorHAnsi" w:hAnsiTheme="majorHAnsi" w:cs="Times-Roman"/>
              </w:rPr>
              <w:t>Tylosin is thought to have the same mechanism of action as erythromycin</w:t>
            </w:r>
          </w:p>
          <w:p w:rsidR="00061D9D" w:rsidRPr="004E7B26" w:rsidRDefault="004E7B26" w:rsidP="00D0740F">
            <w:pPr>
              <w:rPr>
                <w:rFonts w:asciiTheme="majorHAnsi" w:hAnsiTheme="majorHAnsi" w:cs="Times-Roman"/>
                <w:lang w:val="en-US"/>
              </w:rPr>
            </w:pPr>
            <w:r w:rsidRPr="004E7B26">
              <w:rPr>
                <w:rFonts w:asciiTheme="majorHAnsi" w:hAnsiTheme="majorHAnsi" w:cs="Times-Roman"/>
              </w:rPr>
              <w:t>(binds to 50S ribosome and inhibits protein synthesis) and exhibits a similar spectrum of activity.</w:t>
            </w:r>
            <w:r w:rsidR="00D0740F">
              <w:rPr>
                <w:rFonts w:asciiTheme="majorHAnsi" w:hAnsiTheme="majorHAnsi" w:cs="Times-Roman"/>
              </w:rPr>
              <w:t xml:space="preserve"> </w:t>
            </w:r>
            <w:r w:rsidRPr="004E7B26">
              <w:rPr>
                <w:rFonts w:asciiTheme="majorHAnsi" w:hAnsiTheme="majorHAnsi" w:cs="Times-Roman"/>
              </w:rPr>
              <w:t>It is a bacteriostatic antibiotic. Cross resistance with erythromycin occurs.</w:t>
            </w:r>
          </w:p>
        </w:tc>
        <w:tc>
          <w:tcPr>
            <w:tcW w:w="2169" w:type="dxa"/>
          </w:tcPr>
          <w:p w:rsidR="004E7B26" w:rsidRPr="004E7B26" w:rsidRDefault="004E7B26" w:rsidP="004E7B26">
            <w:pPr>
              <w:autoSpaceDE w:val="0"/>
              <w:autoSpaceDN w:val="0"/>
              <w:adjustRightInd w:val="0"/>
              <w:rPr>
                <w:rFonts w:asciiTheme="majorHAnsi" w:hAnsiTheme="majorHAnsi" w:cs="Times-Roman"/>
              </w:rPr>
            </w:pPr>
            <w:r w:rsidRPr="004E7B26">
              <w:rPr>
                <w:rFonts w:asciiTheme="majorHAnsi" w:hAnsiTheme="majorHAnsi" w:cs="Times-Roman"/>
              </w:rPr>
              <w:t>Most likely adverse effects with tylosin are pain and local</w:t>
            </w:r>
          </w:p>
          <w:p w:rsidR="004E7B26" w:rsidRPr="004E7B26" w:rsidRDefault="004E7B26" w:rsidP="004E7B26">
            <w:pPr>
              <w:autoSpaceDE w:val="0"/>
              <w:autoSpaceDN w:val="0"/>
              <w:adjustRightInd w:val="0"/>
              <w:rPr>
                <w:rFonts w:asciiTheme="majorHAnsi" w:hAnsiTheme="majorHAnsi" w:cs="Times-Roman"/>
              </w:rPr>
            </w:pPr>
            <w:r w:rsidRPr="004E7B26">
              <w:rPr>
                <w:rFonts w:asciiTheme="majorHAnsi" w:hAnsiTheme="majorHAnsi" w:cs="Times-Roman"/>
              </w:rPr>
              <w:t>reactions at intramuscular injection sites, and mild GI upset (anorexia, and diarrhea). Tylosin</w:t>
            </w:r>
          </w:p>
          <w:p w:rsidR="00061D9D" w:rsidRPr="004E7B26" w:rsidRDefault="004E7B26" w:rsidP="004E7B26">
            <w:pPr>
              <w:autoSpaceDE w:val="0"/>
              <w:autoSpaceDN w:val="0"/>
              <w:adjustRightInd w:val="0"/>
              <w:rPr>
                <w:rFonts w:asciiTheme="majorHAnsi" w:hAnsiTheme="majorHAnsi" w:cs="Times-Roman"/>
              </w:rPr>
            </w:pPr>
            <w:r w:rsidRPr="004E7B26">
              <w:rPr>
                <w:rFonts w:asciiTheme="majorHAnsi" w:hAnsiTheme="majorHAnsi" w:cs="Times-Roman"/>
              </w:rPr>
              <w:t>may induce severe diarrheas if administered orally to ruminants or by any route to horses. In swine, adverse effects reported include edema of rectal mucosa and mild anal protrusion with pruritus, erythema, and diarrhea.</w:t>
            </w:r>
          </w:p>
        </w:tc>
      </w:tr>
    </w:tbl>
    <w:p w:rsidR="00105717" w:rsidRPr="004E7B26" w:rsidRDefault="00BD3499" w:rsidP="00BD3499">
      <w:pPr>
        <w:tabs>
          <w:tab w:val="left" w:pos="1976"/>
        </w:tabs>
        <w:rPr>
          <w:rFonts w:asciiTheme="majorHAnsi" w:hAnsiTheme="majorHAnsi"/>
        </w:rPr>
      </w:pPr>
      <w:r w:rsidRPr="004E7B26">
        <w:rPr>
          <w:rFonts w:asciiTheme="majorHAnsi" w:hAnsiTheme="majorHAnsi"/>
        </w:rPr>
        <w:tab/>
      </w:r>
    </w:p>
    <w:p w:rsidR="004E7B26" w:rsidRPr="004E7B26" w:rsidRDefault="004E7B26" w:rsidP="004E7B26">
      <w:pPr>
        <w:autoSpaceDE w:val="0"/>
        <w:autoSpaceDN w:val="0"/>
        <w:adjustRightInd w:val="0"/>
        <w:spacing w:after="0" w:line="240" w:lineRule="auto"/>
        <w:rPr>
          <w:rFonts w:asciiTheme="majorHAnsi" w:hAnsiTheme="majorHAnsi"/>
        </w:rPr>
      </w:pPr>
      <w:r w:rsidRPr="004E7B26">
        <w:rPr>
          <w:rFonts w:asciiTheme="majorHAnsi" w:hAnsiTheme="majorHAnsi"/>
        </w:rPr>
        <w:t xml:space="preserve">* </w:t>
      </w:r>
      <w:r w:rsidRPr="004E7B26">
        <w:rPr>
          <w:rFonts w:ascii="Times-Roman" w:hAnsi="Times-Roman" w:cs="Times-Roman"/>
        </w:rPr>
        <w:t>Approved for use in nonlactating dairy cattle, beef cattle, swine, dogs, and cats. Slaughter withdrawal (at labelled doses) = cattle 21 days; swine 14 days.</w:t>
      </w:r>
      <w:bookmarkStart w:id="0" w:name="_GoBack"/>
      <w:bookmarkEnd w:id="0"/>
    </w:p>
    <w:sectPr w:rsidR="004E7B26" w:rsidRPr="004E7B26" w:rsidSect="001E569D">
      <w:pgSz w:w="20160" w:h="12240" w:orient="landscape" w:code="5"/>
      <w:pgMar w:top="360" w:right="72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F45" w:rsidRDefault="00547F45" w:rsidP="001E569D">
      <w:pPr>
        <w:spacing w:after="0" w:line="240" w:lineRule="auto"/>
      </w:pPr>
      <w:r>
        <w:separator/>
      </w:r>
    </w:p>
  </w:endnote>
  <w:endnote w:type="continuationSeparator" w:id="0">
    <w:p w:rsidR="00547F45" w:rsidRDefault="00547F45" w:rsidP="001E5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F45" w:rsidRDefault="00547F45" w:rsidP="001E569D">
      <w:pPr>
        <w:spacing w:after="0" w:line="240" w:lineRule="auto"/>
      </w:pPr>
      <w:r>
        <w:separator/>
      </w:r>
    </w:p>
  </w:footnote>
  <w:footnote w:type="continuationSeparator" w:id="0">
    <w:p w:rsidR="00547F45" w:rsidRDefault="00547F45" w:rsidP="001E5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339FD"/>
    <w:multiLevelType w:val="hybridMultilevel"/>
    <w:tmpl w:val="DD72E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936F2"/>
    <w:multiLevelType w:val="hybridMultilevel"/>
    <w:tmpl w:val="BEB84560"/>
    <w:lvl w:ilvl="0" w:tplc="DA964DD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51616"/>
    <w:multiLevelType w:val="hybridMultilevel"/>
    <w:tmpl w:val="9C26F350"/>
    <w:lvl w:ilvl="0" w:tplc="74848CD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54326E"/>
    <w:multiLevelType w:val="hybridMultilevel"/>
    <w:tmpl w:val="86EEB7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DD1"/>
    <w:rsid w:val="00020761"/>
    <w:rsid w:val="00061D9D"/>
    <w:rsid w:val="000664D1"/>
    <w:rsid w:val="00105717"/>
    <w:rsid w:val="00163CBB"/>
    <w:rsid w:val="001840FE"/>
    <w:rsid w:val="001E0472"/>
    <w:rsid w:val="001E569D"/>
    <w:rsid w:val="0033317B"/>
    <w:rsid w:val="003371F1"/>
    <w:rsid w:val="00381560"/>
    <w:rsid w:val="003E5A2E"/>
    <w:rsid w:val="00483145"/>
    <w:rsid w:val="004E7B26"/>
    <w:rsid w:val="00547F45"/>
    <w:rsid w:val="005A194B"/>
    <w:rsid w:val="00614BE3"/>
    <w:rsid w:val="006649DF"/>
    <w:rsid w:val="006650DF"/>
    <w:rsid w:val="006D0689"/>
    <w:rsid w:val="006F6D5E"/>
    <w:rsid w:val="007D44F1"/>
    <w:rsid w:val="00882DD1"/>
    <w:rsid w:val="00892D2F"/>
    <w:rsid w:val="009071E2"/>
    <w:rsid w:val="0093134A"/>
    <w:rsid w:val="00970CAA"/>
    <w:rsid w:val="00A808A0"/>
    <w:rsid w:val="00A87D9F"/>
    <w:rsid w:val="00AC6327"/>
    <w:rsid w:val="00AD7CE2"/>
    <w:rsid w:val="00B31DA8"/>
    <w:rsid w:val="00BC3B5F"/>
    <w:rsid w:val="00BD3499"/>
    <w:rsid w:val="00C476D1"/>
    <w:rsid w:val="00C65D35"/>
    <w:rsid w:val="00D0740F"/>
    <w:rsid w:val="00E357C3"/>
    <w:rsid w:val="00ED0441"/>
    <w:rsid w:val="00EF14B5"/>
    <w:rsid w:val="00F64EA4"/>
    <w:rsid w:val="00FD5C20"/>
    <w:rsid w:val="00FE2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82251"/>
  <w15:docId w15:val="{38EF5C97-DE63-473E-8708-EEBDAFD2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441"/>
    <w:rPr>
      <w:lang w:val="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DD1"/>
    <w:rPr>
      <w:rFonts w:ascii="Tahoma" w:hAnsi="Tahoma" w:cs="Tahoma"/>
      <w:sz w:val="16"/>
      <w:szCs w:val="16"/>
      <w:lang w:val="en-TT"/>
    </w:rPr>
  </w:style>
  <w:style w:type="paragraph" w:styleId="NormalWeb">
    <w:name w:val="Normal (Web)"/>
    <w:basedOn w:val="Normal"/>
    <w:uiPriority w:val="99"/>
    <w:unhideWhenUsed/>
    <w:rsid w:val="00882DD1"/>
    <w:pPr>
      <w:spacing w:before="100" w:beforeAutospacing="1" w:after="100" w:afterAutospacing="1" w:line="240" w:lineRule="auto"/>
    </w:pPr>
    <w:rPr>
      <w:rFonts w:ascii="Times New Roman" w:eastAsia="Times New Roman" w:hAnsi="Times New Roman" w:cs="Times New Roman"/>
      <w:lang w:val="en-US"/>
    </w:rPr>
  </w:style>
  <w:style w:type="paragraph" w:styleId="Header">
    <w:name w:val="header"/>
    <w:basedOn w:val="Normal"/>
    <w:link w:val="HeaderChar"/>
    <w:uiPriority w:val="99"/>
    <w:semiHidden/>
    <w:unhideWhenUsed/>
    <w:rsid w:val="001E56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569D"/>
    <w:rPr>
      <w:lang w:val="en-TT"/>
    </w:rPr>
  </w:style>
  <w:style w:type="paragraph" w:styleId="Footer">
    <w:name w:val="footer"/>
    <w:basedOn w:val="Normal"/>
    <w:link w:val="FooterChar"/>
    <w:uiPriority w:val="99"/>
    <w:semiHidden/>
    <w:unhideWhenUsed/>
    <w:rsid w:val="001E56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569D"/>
    <w:rPr>
      <w:lang w:val="en-TT"/>
    </w:rPr>
  </w:style>
  <w:style w:type="paragraph" w:styleId="ListParagraph">
    <w:name w:val="List Paragraph"/>
    <w:basedOn w:val="Normal"/>
    <w:uiPriority w:val="34"/>
    <w:qFormat/>
    <w:rsid w:val="006F6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 Maharaj</dc:creator>
  <cp:lastModifiedBy>Krystal Maharaj</cp:lastModifiedBy>
  <cp:revision>4</cp:revision>
  <dcterms:created xsi:type="dcterms:W3CDTF">2018-09-08T01:30:00Z</dcterms:created>
  <dcterms:modified xsi:type="dcterms:W3CDTF">2018-09-08T07:03:00Z</dcterms:modified>
</cp:coreProperties>
</file>