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942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50"/>
        <w:gridCol w:w="1241"/>
        <w:gridCol w:w="2474"/>
        <w:gridCol w:w="1555"/>
        <w:gridCol w:w="2544"/>
        <w:gridCol w:w="2120"/>
        <w:gridCol w:w="4383"/>
        <w:gridCol w:w="2359"/>
      </w:tblGrid>
      <w:tr w:rsidR="001E569D" w:rsidRPr="006F6D5E" w:rsidTr="00BD3499">
        <w:trPr>
          <w:trHeight w:val="663"/>
        </w:trPr>
        <w:tc>
          <w:tcPr>
            <w:tcW w:w="2750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Drug</w:t>
            </w:r>
          </w:p>
        </w:tc>
        <w:tc>
          <w:tcPr>
            <w:tcW w:w="1241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Species</w:t>
            </w:r>
          </w:p>
        </w:tc>
        <w:tc>
          <w:tcPr>
            <w:tcW w:w="2474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Indications</w:t>
            </w:r>
          </w:p>
        </w:tc>
        <w:tc>
          <w:tcPr>
            <w:tcW w:w="1555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Therapeutic Dose</w:t>
            </w:r>
          </w:p>
        </w:tc>
        <w:tc>
          <w:tcPr>
            <w:tcW w:w="2544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Lethal Dose/ Toxicity</w:t>
            </w:r>
          </w:p>
        </w:tc>
        <w:tc>
          <w:tcPr>
            <w:tcW w:w="2120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Contraindications</w:t>
            </w:r>
          </w:p>
        </w:tc>
        <w:tc>
          <w:tcPr>
            <w:tcW w:w="4383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Pharmacology</w:t>
            </w:r>
          </w:p>
        </w:tc>
        <w:tc>
          <w:tcPr>
            <w:tcW w:w="2359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Adverse Effects</w:t>
            </w:r>
          </w:p>
        </w:tc>
      </w:tr>
      <w:tr w:rsidR="000664D1" w:rsidRPr="006F6D5E" w:rsidTr="00BD3499">
        <w:trPr>
          <w:trHeight w:val="7227"/>
        </w:trPr>
        <w:tc>
          <w:tcPr>
            <w:tcW w:w="2750" w:type="dxa"/>
          </w:tcPr>
          <w:p w:rsidR="000664D1" w:rsidRDefault="000664D1" w:rsidP="000664D1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Trisulkel</w:t>
            </w:r>
            <w:r w:rsidRPr="000664D1">
              <w:rPr>
                <w:rFonts w:asciiTheme="majorHAnsi" w:hAnsiTheme="majorHAnsi"/>
                <w:sz w:val="22"/>
                <w:szCs w:val="22"/>
                <w:vertAlign w:val="superscript"/>
              </w:rPr>
              <w:t>®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240</w:t>
            </w:r>
          </w:p>
          <w:p w:rsidR="00BC3B5F" w:rsidRPr="00BC3B5F" w:rsidRDefault="00BC3B5F" w:rsidP="00BC3B5F">
            <w:pPr>
              <w:ind w:left="-108"/>
              <w:rPr>
                <w:rFonts w:asciiTheme="majorHAnsi" w:hAnsiTheme="majorHAnsi"/>
                <w:sz w:val="22"/>
                <w:szCs w:val="22"/>
                <w:lang w:val="en-CA"/>
              </w:rPr>
            </w:pPr>
            <w:r w:rsidRPr="00BC3B5F">
              <w:rPr>
                <w:rFonts w:asciiTheme="majorHAnsi" w:hAnsiTheme="majorHAnsi"/>
                <w:sz w:val="22"/>
                <w:szCs w:val="22"/>
                <w:lang w:val="en-CA"/>
              </w:rPr>
              <w:t>(Trimethoprim/ Sulfa-methoxazole)</w:t>
            </w:r>
          </w:p>
          <w:p w:rsidR="000664D1" w:rsidRDefault="000664D1" w:rsidP="000664D1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</w:p>
          <w:p w:rsidR="000664D1" w:rsidRPr="006F6D5E" w:rsidRDefault="000664D1" w:rsidP="000664D1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 w:rsidRPr="001840FE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9BBB3C4" wp14:editId="10EC5CE5">
                  <wp:extent cx="1628775" cy="2727251"/>
                  <wp:effectExtent l="0" t="0" r="0" b="0"/>
                  <wp:docPr id="3" name="Picture 3" descr="E:\Dr. Diptee Introduction and Lab 1\las\Drugs\IMG_20180904_145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r. Diptee Introduction and Lab 1\las\Drugs\IMG_20180904_1457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13" r="22395"/>
                          <a:stretch/>
                        </pic:blipFill>
                        <pic:spPr bwMode="auto">
                          <a:xfrm>
                            <a:off x="0" y="0"/>
                            <a:ext cx="1631238" cy="273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0664D1" w:rsidRPr="006F6D5E" w:rsidRDefault="000664D1" w:rsidP="000664D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Horses, Cattle</w:t>
            </w:r>
          </w:p>
        </w:tc>
        <w:tc>
          <w:tcPr>
            <w:tcW w:w="2474" w:type="dxa"/>
          </w:tcPr>
          <w:p w:rsidR="000664D1" w:rsidRPr="006F6D5E" w:rsidRDefault="000664D1" w:rsidP="000664D1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imes-Roman"/>
                <w:sz w:val="22"/>
                <w:szCs w:val="22"/>
                <w:lang w:val="en-US"/>
              </w:rPr>
              <w:t xml:space="preserve">Infections of the urinary and respiratory tract, pharyngitis, septicemia, mastitis, metritis, strangles in horses, arthritis and dermal infections. </w:t>
            </w:r>
          </w:p>
        </w:tc>
        <w:tc>
          <w:tcPr>
            <w:tcW w:w="1555" w:type="dxa"/>
          </w:tcPr>
          <w:p w:rsidR="000664D1" w:rsidRPr="006F6D5E" w:rsidRDefault="000664D1" w:rsidP="000664D1">
            <w:pPr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imes-Roman"/>
                <w:sz w:val="22"/>
                <w:szCs w:val="22"/>
                <w:lang w:val="en-US"/>
              </w:rPr>
              <w:t xml:space="preserve">1mL/ 10-15kg body weight by I.M., S.C. or slow I.V. administration. Injection to be repeated if necessary with 12 to 24-hour intervals. </w:t>
            </w:r>
          </w:p>
        </w:tc>
        <w:tc>
          <w:tcPr>
            <w:tcW w:w="2544" w:type="dxa"/>
          </w:tcPr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Manifestations of an acute overdosage can include symptoms of</w:t>
            </w:r>
          </w:p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GI distress (nausea, vomiting, diarrhea), CNS toxicity (depression, headache, and confusion),</w:t>
            </w:r>
          </w:p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facial swelling, bone marrow depression and increases in serum aminotransferases. Oral</w:t>
            </w:r>
          </w:p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overdoses can be treated by emptying the stomach (following usual protocols) and initiating</w:t>
            </w:r>
          </w:p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symptomatic and supportive therapy. Acidification of the urine may increase the renal</w:t>
            </w:r>
          </w:p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elimination of trimethoprim, but could also cause sulfonamide crystalluria, particularly with</w:t>
            </w:r>
          </w:p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sulfadiazine containing products. Complete blood counts (and other laboratory parameters)</w:t>
            </w:r>
          </w:p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should be monitored as necessary. Bone marrow suppression associated with chronic overdoses</w:t>
            </w:r>
          </w:p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may be treated with folinic acid (leucovorin) if severe. Peritoneal dialysis is not effective in</w:t>
            </w:r>
          </w:p>
          <w:p w:rsidR="000664D1" w:rsidRPr="006F6D5E" w:rsidRDefault="00BC3B5F" w:rsidP="00BC3B5F">
            <w:pPr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removing TMP or sulfas from the circulation.</w:t>
            </w:r>
          </w:p>
        </w:tc>
        <w:tc>
          <w:tcPr>
            <w:tcW w:w="2120" w:type="dxa"/>
          </w:tcPr>
          <w:p w:rsidR="00BC3B5F" w:rsidRPr="00BC3B5F" w:rsidRDefault="000664D1" w:rsidP="00B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to be used in horses with liver parenchymal damage, blood dyscrasis, or history of sulfonamide sensitivity. Not to be used in animals intended for food</w:t>
            </w:r>
            <w:r w:rsidR="00BC3B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C3B5F" w:rsidRPr="00BC3B5F">
              <w:rPr>
                <w:rFonts w:ascii="Times New Roman" w:hAnsi="Times New Roman" w:cs="Times New Roman"/>
                <w:sz w:val="20"/>
                <w:szCs w:val="20"/>
              </w:rPr>
              <w:t>Safety of trimethoprim/sulfa has not been clearly established in pregnant animals. Reports of</w:t>
            </w:r>
          </w:p>
          <w:p w:rsidR="00BC3B5F" w:rsidRPr="00BC3B5F" w:rsidRDefault="00BC3B5F" w:rsidP="00B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B5F">
              <w:rPr>
                <w:rFonts w:ascii="Times New Roman" w:hAnsi="Times New Roman" w:cs="Times New Roman"/>
                <w:sz w:val="20"/>
                <w:szCs w:val="20"/>
              </w:rPr>
              <w:t>teratogenicity (cleft palate) have been reported in some rat studies. Fetal mortality was also</w:t>
            </w:r>
          </w:p>
          <w:p w:rsidR="000664D1" w:rsidRPr="00B91E2C" w:rsidRDefault="00BC3B5F" w:rsidP="00B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B5F">
              <w:rPr>
                <w:rFonts w:ascii="Times New Roman" w:hAnsi="Times New Roman" w:cs="Times New Roman"/>
                <w:sz w:val="20"/>
                <w:szCs w:val="20"/>
              </w:rPr>
              <w:t>increased in rabbits receiving high doses of trimethoprim</w:t>
            </w:r>
          </w:p>
        </w:tc>
        <w:tc>
          <w:tcPr>
            <w:tcW w:w="4383" w:type="dxa"/>
          </w:tcPr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Alone, sulfonamides are bacteriostatic agents and trimethoprim is bactericidal,</w:t>
            </w:r>
          </w:p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but in combination, the potentiated sulfas are bactericidal. Potentiated sulfas sequentially inhibit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enzymes in the folic acid pathway, thereby inhibiting bacterial thymidine synthesis. The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sulfonamide blocks the conversion of para-aminobenzoic acid (PABA) to dihydrofolic acid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(DFA), and trimethoprim blocks the conversion of DFA to tetrahydrofolic acid by inhibiting</w:t>
            </w:r>
          </w:p>
          <w:p w:rsidR="000664D1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dihydrofolate reductase.</w:t>
            </w:r>
          </w:p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 xml:space="preserve">The </w:t>
            </w:r>
            <w:r w:rsidRPr="00BC3B5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in vitro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optimal ratio for most susceptible bacteria is approximately 1:20</w:t>
            </w:r>
          </w:p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(trimethoprim:sulfa), but synergistic activity can reportedly occur with ratios of 1:1 - 1:40. The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serum concentration of the trimethoprim component is considered to be more important than the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sulfa concentration. For most susceptible bacteria, the MIC’s for TMP are generally above 0.5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micrograms/ml.</w:t>
            </w:r>
          </w:p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The potentiated sulfas have a fairly broad spectrum of activity. Gram positive bacteria that are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 xml:space="preserve">generally susceptible include most streptococci, many strains of staphylococcus and </w:t>
            </w:r>
            <w:r w:rsidRPr="00BC3B5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>Nocardia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.</w:t>
            </w:r>
          </w:p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 xml:space="preserve">Approximately 30% of strains tested of </w:t>
            </w:r>
            <w:r w:rsidRPr="00BC3B5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Streptococcus zooepidemicus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are resistant to TMP/Sulfa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in horses. Many gram negative organisms of the family Enterobacteriaceae are susceptible to the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 xml:space="preserve">potentiated sulfas, but not </w:t>
            </w:r>
            <w:r w:rsidRPr="00BC3B5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>Pseudomonas aeruginosa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. Some protozoa (</w:t>
            </w:r>
            <w:r w:rsidRPr="00BC3B5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>Pneumocystis carinii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,</w:t>
            </w:r>
          </w:p>
          <w:p w:rsidR="00BC3B5F" w:rsidRPr="00BC3B5F" w:rsidRDefault="00BC3B5F" w:rsidP="00BC3B5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Coccidia and Toxoplasma) are also inhibited by the combination. Potentiated sulfas reportedly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have little activity against most anaerobes, but opinions on this vary.</w:t>
            </w:r>
          </w:p>
          <w:p w:rsidR="00BC3B5F" w:rsidRPr="006F6D5E" w:rsidRDefault="00BC3B5F" w:rsidP="00BC3B5F">
            <w:pPr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Resistance will develop slower to the combination of drugs than to either one alone. In gram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negative organisms, resistance is usually plasmid-mediated.</w:t>
            </w:r>
          </w:p>
        </w:tc>
        <w:tc>
          <w:tcPr>
            <w:tcW w:w="2359" w:type="dxa"/>
          </w:tcPr>
          <w:p w:rsidR="00BC3B5F" w:rsidRPr="00BC3B5F" w:rsidRDefault="00BC3B5F" w:rsidP="00BC3B5F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In horses, transient pruritus has been noted after intravenous injection. Oral therapy has resulted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in diarrhea development in some horses. Previous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administration of potentiated sulfas have been</w:t>
            </w:r>
          </w:p>
          <w:p w:rsidR="00BC3B5F" w:rsidRPr="00BC3B5F" w:rsidRDefault="00BC3B5F" w:rsidP="00BC3B5F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implicated in increasing the mortality rate of equine diarrhea. If the 48% injectable product is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injected IM, SC, or extravasates after IV administration, swelling, pain and minor tissue damage</w:t>
            </w:r>
          </w:p>
          <w:p w:rsidR="00BC3B5F" w:rsidRPr="00BC3B5F" w:rsidRDefault="00BC3B5F" w:rsidP="00BC3B5F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may result. Hypersensitivity reactions and hematologic effects (anemias, thrombocytopenia, or</w:t>
            </w:r>
          </w:p>
          <w:p w:rsidR="000664D1" w:rsidRPr="006F6D5E" w:rsidRDefault="00BC3B5F" w:rsidP="00BC3B5F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BC3B5F">
              <w:rPr>
                <w:rFonts w:asciiTheme="majorHAnsi" w:hAnsiTheme="majorHAnsi" w:cs="Times-Roman"/>
                <w:sz w:val="22"/>
                <w:szCs w:val="22"/>
              </w:rPr>
              <w:t>leukopenias) may also be seen; long term therapy should include periodic hematologic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BC3B5F">
              <w:rPr>
                <w:rFonts w:asciiTheme="majorHAnsi" w:hAnsiTheme="majorHAnsi" w:cs="Times-Roman"/>
                <w:sz w:val="22"/>
                <w:szCs w:val="22"/>
              </w:rPr>
              <w:t>monitoring.</w:t>
            </w:r>
          </w:p>
        </w:tc>
      </w:tr>
    </w:tbl>
    <w:p w:rsidR="00105717" w:rsidRPr="006F6D5E" w:rsidRDefault="00BD3499" w:rsidP="00BD3499">
      <w:pPr>
        <w:tabs>
          <w:tab w:val="left" w:pos="1976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bookmarkStart w:id="0" w:name="_GoBack"/>
      <w:bookmarkEnd w:id="0"/>
    </w:p>
    <w:sectPr w:rsidR="00105717" w:rsidRPr="006F6D5E" w:rsidSect="001E569D">
      <w:pgSz w:w="20160" w:h="12240" w:orient="landscape" w:code="5"/>
      <w:pgMar w:top="36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94B" w:rsidRDefault="005A194B" w:rsidP="001E569D">
      <w:pPr>
        <w:spacing w:after="0" w:line="240" w:lineRule="auto"/>
      </w:pPr>
      <w:r>
        <w:separator/>
      </w:r>
    </w:p>
  </w:endnote>
  <w:endnote w:type="continuationSeparator" w:id="0">
    <w:p w:rsidR="005A194B" w:rsidRDefault="005A194B" w:rsidP="001E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94B" w:rsidRDefault="005A194B" w:rsidP="001E569D">
      <w:pPr>
        <w:spacing w:after="0" w:line="240" w:lineRule="auto"/>
      </w:pPr>
      <w:r>
        <w:separator/>
      </w:r>
    </w:p>
  </w:footnote>
  <w:footnote w:type="continuationSeparator" w:id="0">
    <w:p w:rsidR="005A194B" w:rsidRDefault="005A194B" w:rsidP="001E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339FD"/>
    <w:multiLevelType w:val="hybridMultilevel"/>
    <w:tmpl w:val="DD72E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936F2"/>
    <w:multiLevelType w:val="hybridMultilevel"/>
    <w:tmpl w:val="BEB84560"/>
    <w:lvl w:ilvl="0" w:tplc="DA964D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51616"/>
    <w:multiLevelType w:val="hybridMultilevel"/>
    <w:tmpl w:val="9C26F350"/>
    <w:lvl w:ilvl="0" w:tplc="74848C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326E"/>
    <w:multiLevelType w:val="hybridMultilevel"/>
    <w:tmpl w:val="86EEB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D1"/>
    <w:rsid w:val="00020761"/>
    <w:rsid w:val="000664D1"/>
    <w:rsid w:val="00105717"/>
    <w:rsid w:val="001840FE"/>
    <w:rsid w:val="001E0472"/>
    <w:rsid w:val="001E569D"/>
    <w:rsid w:val="0033317B"/>
    <w:rsid w:val="005A194B"/>
    <w:rsid w:val="00614BE3"/>
    <w:rsid w:val="006650DF"/>
    <w:rsid w:val="006D0689"/>
    <w:rsid w:val="006F6D5E"/>
    <w:rsid w:val="007D44F1"/>
    <w:rsid w:val="00882DD1"/>
    <w:rsid w:val="00892D2F"/>
    <w:rsid w:val="009071E2"/>
    <w:rsid w:val="0093134A"/>
    <w:rsid w:val="00970CAA"/>
    <w:rsid w:val="00AD7CE2"/>
    <w:rsid w:val="00B31DA8"/>
    <w:rsid w:val="00BC3B5F"/>
    <w:rsid w:val="00BD3499"/>
    <w:rsid w:val="00C65D35"/>
    <w:rsid w:val="00ED0441"/>
    <w:rsid w:val="00EF14B5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3F0D"/>
  <w15:docId w15:val="{38EF5C97-DE63-473E-8708-EEBDAFD2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441"/>
    <w:rPr>
      <w:lang w:val="en-T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D1"/>
    <w:rPr>
      <w:rFonts w:ascii="Tahoma" w:hAnsi="Tahoma" w:cs="Tahoma"/>
      <w:sz w:val="16"/>
      <w:szCs w:val="16"/>
      <w:lang w:val="en-TT"/>
    </w:rPr>
  </w:style>
  <w:style w:type="paragraph" w:styleId="NormalWeb">
    <w:name w:val="Normal (Web)"/>
    <w:basedOn w:val="Normal"/>
    <w:uiPriority w:val="99"/>
    <w:unhideWhenUsed/>
    <w:rsid w:val="0088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E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69D"/>
    <w:rPr>
      <w:lang w:val="en-TT"/>
    </w:rPr>
  </w:style>
  <w:style w:type="paragraph" w:styleId="Footer">
    <w:name w:val="footer"/>
    <w:basedOn w:val="Normal"/>
    <w:link w:val="FooterChar"/>
    <w:uiPriority w:val="99"/>
    <w:semiHidden/>
    <w:unhideWhenUsed/>
    <w:rsid w:val="001E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69D"/>
    <w:rPr>
      <w:lang w:val="en-TT"/>
    </w:rPr>
  </w:style>
  <w:style w:type="paragraph" w:styleId="ListParagraph">
    <w:name w:val="List Paragraph"/>
    <w:basedOn w:val="Normal"/>
    <w:uiPriority w:val="34"/>
    <w:qFormat/>
    <w:rsid w:val="006F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Maharaj</dc:creator>
  <cp:lastModifiedBy>Krystal Maharaj</cp:lastModifiedBy>
  <cp:revision>2</cp:revision>
  <dcterms:created xsi:type="dcterms:W3CDTF">2018-09-07T23:22:00Z</dcterms:created>
  <dcterms:modified xsi:type="dcterms:W3CDTF">2018-09-07T23:22:00Z</dcterms:modified>
</cp:coreProperties>
</file>