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9255" w:type="dxa"/>
        <w:tblInd w:w="-252" w:type="dxa"/>
        <w:tblLayout w:type="fixed"/>
        <w:tblLook w:val="04A0" w:firstRow="1" w:lastRow="0" w:firstColumn="1" w:lastColumn="0" w:noHBand="0" w:noVBand="1"/>
      </w:tblPr>
      <w:tblGrid>
        <w:gridCol w:w="3584"/>
        <w:gridCol w:w="1617"/>
        <w:gridCol w:w="3224"/>
        <w:gridCol w:w="2026"/>
        <w:gridCol w:w="3695"/>
        <w:gridCol w:w="5109"/>
      </w:tblGrid>
      <w:tr w:rsidR="00194545" w:rsidRPr="006F6D5E" w:rsidTr="00194545">
        <w:trPr>
          <w:trHeight w:val="655"/>
        </w:trPr>
        <w:tc>
          <w:tcPr>
            <w:tcW w:w="3584" w:type="dxa"/>
          </w:tcPr>
          <w:p w:rsidR="00194545" w:rsidRPr="006F6D5E" w:rsidRDefault="00194545" w:rsidP="00DA75AC">
            <w:pPr>
              <w:rPr>
                <w:rFonts w:asciiTheme="majorHAnsi" w:hAnsiTheme="majorHAnsi"/>
                <w:b/>
                <w:sz w:val="22"/>
                <w:szCs w:val="22"/>
              </w:rPr>
            </w:pPr>
            <w:bookmarkStart w:id="0" w:name="_GoBack"/>
            <w:bookmarkEnd w:id="0"/>
            <w:r w:rsidRPr="006F6D5E">
              <w:rPr>
                <w:rFonts w:asciiTheme="majorHAnsi" w:hAnsiTheme="majorHAnsi"/>
                <w:b/>
                <w:sz w:val="22"/>
                <w:szCs w:val="22"/>
              </w:rPr>
              <w:t>Drug</w:t>
            </w:r>
          </w:p>
        </w:tc>
        <w:tc>
          <w:tcPr>
            <w:tcW w:w="1617" w:type="dxa"/>
          </w:tcPr>
          <w:p w:rsidR="00194545" w:rsidRPr="006F6D5E" w:rsidRDefault="00194545" w:rsidP="00DA75AC">
            <w:pPr>
              <w:rPr>
                <w:rFonts w:asciiTheme="majorHAnsi" w:hAnsiTheme="majorHAnsi"/>
                <w:b/>
                <w:sz w:val="22"/>
                <w:szCs w:val="22"/>
              </w:rPr>
            </w:pPr>
            <w:r w:rsidRPr="006F6D5E">
              <w:rPr>
                <w:rFonts w:asciiTheme="majorHAnsi" w:hAnsiTheme="majorHAnsi"/>
                <w:b/>
                <w:sz w:val="22"/>
                <w:szCs w:val="22"/>
              </w:rPr>
              <w:t>Species</w:t>
            </w:r>
          </w:p>
        </w:tc>
        <w:tc>
          <w:tcPr>
            <w:tcW w:w="3224" w:type="dxa"/>
          </w:tcPr>
          <w:p w:rsidR="00194545" w:rsidRPr="006F6D5E" w:rsidRDefault="00194545" w:rsidP="00DA75AC">
            <w:pPr>
              <w:rPr>
                <w:rFonts w:asciiTheme="majorHAnsi" w:hAnsiTheme="majorHAnsi"/>
                <w:b/>
                <w:sz w:val="22"/>
                <w:szCs w:val="22"/>
              </w:rPr>
            </w:pPr>
            <w:r w:rsidRPr="006F6D5E">
              <w:rPr>
                <w:rFonts w:asciiTheme="majorHAnsi" w:hAnsiTheme="majorHAnsi"/>
                <w:b/>
                <w:sz w:val="22"/>
                <w:szCs w:val="22"/>
              </w:rPr>
              <w:t>Indications</w:t>
            </w:r>
          </w:p>
        </w:tc>
        <w:tc>
          <w:tcPr>
            <w:tcW w:w="2026" w:type="dxa"/>
          </w:tcPr>
          <w:p w:rsidR="00194545" w:rsidRPr="006F6D5E" w:rsidRDefault="00194545" w:rsidP="00DA75AC">
            <w:pPr>
              <w:rPr>
                <w:rFonts w:asciiTheme="majorHAnsi" w:hAnsiTheme="majorHAnsi"/>
                <w:b/>
                <w:sz w:val="22"/>
                <w:szCs w:val="22"/>
              </w:rPr>
            </w:pPr>
            <w:r w:rsidRPr="006F6D5E">
              <w:rPr>
                <w:rFonts w:asciiTheme="majorHAnsi" w:hAnsiTheme="majorHAnsi"/>
                <w:b/>
                <w:sz w:val="22"/>
                <w:szCs w:val="22"/>
              </w:rPr>
              <w:t>Therapeutic Dose</w:t>
            </w:r>
          </w:p>
        </w:tc>
        <w:tc>
          <w:tcPr>
            <w:tcW w:w="3695" w:type="dxa"/>
          </w:tcPr>
          <w:p w:rsidR="00194545" w:rsidRPr="006F6D5E" w:rsidRDefault="00194545" w:rsidP="00DA75AC">
            <w:pPr>
              <w:rPr>
                <w:rFonts w:asciiTheme="majorHAnsi" w:hAnsiTheme="majorHAnsi"/>
                <w:b/>
                <w:sz w:val="22"/>
                <w:szCs w:val="22"/>
              </w:rPr>
            </w:pPr>
            <w:r w:rsidRPr="006F6D5E">
              <w:rPr>
                <w:rFonts w:asciiTheme="majorHAnsi" w:hAnsiTheme="majorHAnsi"/>
                <w:b/>
                <w:sz w:val="22"/>
                <w:szCs w:val="22"/>
              </w:rPr>
              <w:t>Contraindications</w:t>
            </w:r>
          </w:p>
        </w:tc>
        <w:tc>
          <w:tcPr>
            <w:tcW w:w="5109" w:type="dxa"/>
          </w:tcPr>
          <w:p w:rsidR="00194545" w:rsidRPr="006F6D5E" w:rsidRDefault="00194545" w:rsidP="00DA75AC">
            <w:pPr>
              <w:rPr>
                <w:rFonts w:asciiTheme="majorHAnsi" w:hAnsiTheme="majorHAnsi"/>
                <w:b/>
                <w:sz w:val="22"/>
                <w:szCs w:val="22"/>
              </w:rPr>
            </w:pPr>
            <w:r w:rsidRPr="006F6D5E">
              <w:rPr>
                <w:rFonts w:asciiTheme="majorHAnsi" w:hAnsiTheme="majorHAnsi"/>
                <w:b/>
                <w:sz w:val="22"/>
                <w:szCs w:val="22"/>
              </w:rPr>
              <w:t>Pharmacology</w:t>
            </w:r>
          </w:p>
        </w:tc>
      </w:tr>
      <w:tr w:rsidR="00194545" w:rsidRPr="006F6D5E" w:rsidTr="00194545">
        <w:trPr>
          <w:trHeight w:val="7150"/>
        </w:trPr>
        <w:tc>
          <w:tcPr>
            <w:tcW w:w="3584" w:type="dxa"/>
          </w:tcPr>
          <w:p w:rsidR="00194545" w:rsidRDefault="00194545" w:rsidP="005D1E1A">
            <w:pPr>
              <w:ind w:left="-108"/>
              <w:rPr>
                <w:rFonts w:asciiTheme="majorHAnsi" w:hAnsiTheme="majorHAnsi"/>
                <w:sz w:val="22"/>
                <w:szCs w:val="22"/>
                <w:vertAlign w:val="superscript"/>
              </w:rPr>
            </w:pPr>
            <w:r>
              <w:rPr>
                <w:rFonts w:asciiTheme="majorHAnsi" w:hAnsiTheme="majorHAnsi"/>
                <w:sz w:val="22"/>
                <w:szCs w:val="22"/>
              </w:rPr>
              <w:t>Scourban Plus</w:t>
            </w:r>
            <w:r>
              <w:rPr>
                <w:rFonts w:asciiTheme="majorHAnsi" w:hAnsiTheme="majorHAnsi"/>
                <w:sz w:val="22"/>
                <w:szCs w:val="22"/>
                <w:vertAlign w:val="superscript"/>
              </w:rPr>
              <w:t>®</w:t>
            </w:r>
          </w:p>
          <w:p w:rsidR="00194545" w:rsidRPr="005D1E1A" w:rsidRDefault="00194545" w:rsidP="005D1E1A">
            <w:pPr>
              <w:ind w:left="-108"/>
              <w:rPr>
                <w:rFonts w:asciiTheme="majorHAnsi" w:hAnsiTheme="majorHAnsi"/>
                <w:sz w:val="22"/>
                <w:szCs w:val="22"/>
              </w:rPr>
            </w:pPr>
          </w:p>
          <w:p w:rsidR="00194545" w:rsidRPr="00061D9D" w:rsidRDefault="00194545" w:rsidP="005D1E1A">
            <w:pPr>
              <w:ind w:left="-108"/>
              <w:rPr>
                <w:rFonts w:asciiTheme="majorHAnsi" w:hAnsiTheme="majorHAnsi"/>
                <w:sz w:val="22"/>
                <w:szCs w:val="22"/>
              </w:rPr>
            </w:pPr>
            <w:r>
              <w:rPr>
                <w:noProof/>
              </w:rPr>
              <w:drawing>
                <wp:inline distT="0" distB="0" distL="0" distR="0" wp14:anchorId="33538774" wp14:editId="26803FCA">
                  <wp:extent cx="1658679" cy="33391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rcRect l="15246" r="24557" b="9063"/>
                          <a:stretch/>
                        </pic:blipFill>
                        <pic:spPr bwMode="auto">
                          <a:xfrm>
                            <a:off x="0" y="0"/>
                            <a:ext cx="1671916" cy="33658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17" w:type="dxa"/>
          </w:tcPr>
          <w:p w:rsidR="00194545" w:rsidRPr="00061D9D" w:rsidRDefault="00194545" w:rsidP="005D1E1A">
            <w:pPr>
              <w:rPr>
                <w:rFonts w:asciiTheme="majorHAnsi" w:hAnsiTheme="majorHAnsi"/>
                <w:sz w:val="22"/>
                <w:szCs w:val="22"/>
              </w:rPr>
            </w:pPr>
            <w:r>
              <w:rPr>
                <w:rFonts w:asciiTheme="majorHAnsi" w:hAnsiTheme="majorHAnsi"/>
                <w:sz w:val="22"/>
                <w:szCs w:val="22"/>
              </w:rPr>
              <w:t xml:space="preserve">Horses, Cattle, Swine, Sheep, Goats </w:t>
            </w:r>
          </w:p>
        </w:tc>
        <w:tc>
          <w:tcPr>
            <w:tcW w:w="3224" w:type="dxa"/>
          </w:tcPr>
          <w:p w:rsidR="00194545" w:rsidRPr="00DF17EC" w:rsidRDefault="00194545" w:rsidP="005D1E1A">
            <w:pPr>
              <w:rPr>
                <w:rFonts w:cs="Times New Roman"/>
                <w:sz w:val="22"/>
                <w:szCs w:val="22"/>
              </w:rPr>
            </w:pPr>
            <w:r w:rsidRPr="00DF17EC">
              <w:rPr>
                <w:rFonts w:cs="Times New Roman"/>
                <w:sz w:val="22"/>
                <w:szCs w:val="22"/>
                <w:shd w:val="clear" w:color="auto" w:fill="FFFFFF"/>
              </w:rPr>
              <w:t xml:space="preserve">Prevention and treatment of intestinal infections of bacterial origin in horses, cattle, goats and pigs. </w:t>
            </w:r>
            <w:r w:rsidRPr="00DF17EC">
              <w:rPr>
                <w:rFonts w:cs="Times New Roman"/>
                <w:sz w:val="22"/>
                <w:szCs w:val="22"/>
              </w:rPr>
              <w:t>Prevents and treats scours.</w:t>
            </w:r>
          </w:p>
          <w:p w:rsidR="00194545" w:rsidRPr="00DF17EC" w:rsidRDefault="00194545" w:rsidP="005D1E1A">
            <w:pPr>
              <w:rPr>
                <w:sz w:val="22"/>
                <w:szCs w:val="22"/>
              </w:rPr>
            </w:pPr>
            <w:r w:rsidRPr="00DF17EC">
              <w:rPr>
                <w:rFonts w:cs="Times New Roman"/>
                <w:sz w:val="22"/>
                <w:szCs w:val="22"/>
              </w:rPr>
              <w:t>Soothes and protects the gut. Contains electrolytes and glycine to restore fluid balance.</w:t>
            </w:r>
          </w:p>
        </w:tc>
        <w:tc>
          <w:tcPr>
            <w:tcW w:w="2026" w:type="dxa"/>
          </w:tcPr>
          <w:p w:rsidR="00194545" w:rsidRPr="00DF17EC" w:rsidRDefault="00194545" w:rsidP="005D1E1A">
            <w:pPr>
              <w:rPr>
                <w:rFonts w:cs="Times New Roman"/>
                <w:sz w:val="22"/>
                <w:szCs w:val="22"/>
                <w:shd w:val="clear" w:color="auto" w:fill="FFFFFF"/>
              </w:rPr>
            </w:pPr>
            <w:r w:rsidRPr="00DF17EC">
              <w:rPr>
                <w:rFonts w:cs="Times New Roman"/>
                <w:sz w:val="22"/>
                <w:szCs w:val="22"/>
                <w:u w:val="single"/>
                <w:shd w:val="clear" w:color="auto" w:fill="FFFFFF"/>
              </w:rPr>
              <w:t>Calves, Pigs &amp; Horses</w:t>
            </w:r>
            <w:r w:rsidRPr="00DF17EC">
              <w:rPr>
                <w:rFonts w:cs="Times New Roman"/>
                <w:sz w:val="22"/>
                <w:szCs w:val="22"/>
                <w:shd w:val="clear" w:color="auto" w:fill="FFFFFF"/>
              </w:rPr>
              <w:t>: 30ml/25kg orally</w:t>
            </w:r>
          </w:p>
          <w:p w:rsidR="00194545" w:rsidRPr="00DF17EC" w:rsidRDefault="00194545" w:rsidP="005D1E1A">
            <w:pPr>
              <w:rPr>
                <w:rFonts w:cs="Times New Roman"/>
                <w:sz w:val="22"/>
                <w:szCs w:val="22"/>
              </w:rPr>
            </w:pPr>
            <w:r w:rsidRPr="00DF17EC">
              <w:rPr>
                <w:rFonts w:cs="Times New Roman"/>
                <w:sz w:val="22"/>
                <w:szCs w:val="22"/>
              </w:rPr>
              <w:br/>
            </w:r>
            <w:r w:rsidRPr="00DF17EC">
              <w:rPr>
                <w:rFonts w:cs="Times New Roman"/>
                <w:sz w:val="22"/>
                <w:szCs w:val="22"/>
                <w:u w:val="single"/>
                <w:shd w:val="clear" w:color="auto" w:fill="FFFFFF"/>
              </w:rPr>
              <w:t>Piglets</w:t>
            </w:r>
            <w:r>
              <w:rPr>
                <w:rFonts w:cs="Times New Roman"/>
                <w:sz w:val="22"/>
                <w:szCs w:val="22"/>
                <w:shd w:val="clear" w:color="auto" w:fill="FFFFFF"/>
              </w:rPr>
              <w:t>: 1 - 2</w:t>
            </w:r>
            <w:r w:rsidRPr="00DF17EC">
              <w:rPr>
                <w:rFonts w:cs="Times New Roman"/>
                <w:sz w:val="22"/>
                <w:szCs w:val="22"/>
                <w:shd w:val="clear" w:color="auto" w:fill="FFFFFF"/>
              </w:rPr>
              <w:t>ml</w:t>
            </w:r>
          </w:p>
          <w:p w:rsidR="00194545" w:rsidRPr="00DF17EC" w:rsidRDefault="00194545" w:rsidP="005D1E1A">
            <w:pPr>
              <w:rPr>
                <w:rFonts w:cs="Times New Roman"/>
                <w:sz w:val="22"/>
                <w:szCs w:val="22"/>
              </w:rPr>
            </w:pPr>
          </w:p>
          <w:p w:rsidR="00194545" w:rsidRPr="00061D9D" w:rsidRDefault="00194545" w:rsidP="005D1E1A">
            <w:pPr>
              <w:rPr>
                <w:rFonts w:asciiTheme="majorHAnsi" w:hAnsiTheme="majorHAnsi" w:cs="Times-Roman"/>
                <w:sz w:val="22"/>
                <w:szCs w:val="22"/>
                <w:lang w:val="en-US"/>
              </w:rPr>
            </w:pPr>
            <w:r w:rsidRPr="00DF17EC">
              <w:rPr>
                <w:rFonts w:cs="Times New Roman"/>
                <w:sz w:val="22"/>
                <w:szCs w:val="22"/>
                <w:u w:val="single"/>
              </w:rPr>
              <w:t xml:space="preserve">Sheep/Goats: </w:t>
            </w:r>
            <w:r w:rsidRPr="00DF17EC">
              <w:rPr>
                <w:rFonts w:cs="Times New Roman"/>
                <w:sz w:val="22"/>
                <w:szCs w:val="22"/>
              </w:rPr>
              <w:t xml:space="preserve"> 13ml/25 kg</w:t>
            </w:r>
          </w:p>
        </w:tc>
        <w:tc>
          <w:tcPr>
            <w:tcW w:w="3695" w:type="dxa"/>
          </w:tcPr>
          <w:p w:rsidR="00194545" w:rsidRPr="00DF17EC" w:rsidRDefault="00194545" w:rsidP="005D1E1A">
            <w:pPr>
              <w:rPr>
                <w:rFonts w:cs="Times New Roman"/>
                <w:sz w:val="22"/>
                <w:szCs w:val="22"/>
              </w:rPr>
            </w:pPr>
            <w:r w:rsidRPr="005D1E1A">
              <w:rPr>
                <w:rFonts w:cs="Times New Roman"/>
                <w:sz w:val="22"/>
                <w:szCs w:val="22"/>
              </w:rPr>
              <w:t>This product is contraindicated for use in animals with known sulfonamide sensitivity, liver damage or blood dyscrasias</w:t>
            </w:r>
          </w:p>
        </w:tc>
        <w:tc>
          <w:tcPr>
            <w:tcW w:w="5109" w:type="dxa"/>
          </w:tcPr>
          <w:p w:rsidR="00194545" w:rsidRPr="00061D9D" w:rsidRDefault="00194545" w:rsidP="005D1E1A">
            <w:pPr>
              <w:rPr>
                <w:rFonts w:asciiTheme="majorHAnsi" w:hAnsiTheme="majorHAnsi" w:cs="Times-Roman"/>
                <w:sz w:val="22"/>
                <w:szCs w:val="22"/>
                <w:lang w:val="en-US"/>
              </w:rPr>
            </w:pPr>
            <w:r>
              <w:rPr>
                <w:rFonts w:asciiTheme="majorHAnsi" w:hAnsiTheme="majorHAnsi" w:cs="Times-Roman"/>
                <w:sz w:val="22"/>
                <w:szCs w:val="22"/>
              </w:rPr>
              <w:t>S</w:t>
            </w:r>
            <w:r w:rsidRPr="005D1E1A">
              <w:rPr>
                <w:rFonts w:asciiTheme="majorHAnsi" w:hAnsiTheme="majorHAnsi" w:cs="Times-Roman"/>
                <w:sz w:val="22"/>
                <w:szCs w:val="22"/>
              </w:rPr>
              <w:t>ulphonamide antibiotics exert antibacterial effect. Electrolytes and glycine assist restoration of fluid balance. Hyoscine hydrobromide acts as an antispasmodic. Kaolin and pectin absorb bacterial toxins and provide protective coating in inflamed mucosa</w:t>
            </w:r>
          </w:p>
        </w:tc>
      </w:tr>
    </w:tbl>
    <w:p w:rsidR="00105717" w:rsidRDefault="00BD3499" w:rsidP="00BD3499">
      <w:pPr>
        <w:tabs>
          <w:tab w:val="left" w:pos="1976"/>
        </w:tabs>
        <w:rPr>
          <w:rFonts w:asciiTheme="majorHAnsi" w:hAnsiTheme="majorHAnsi"/>
          <w:sz w:val="22"/>
          <w:szCs w:val="22"/>
        </w:rPr>
      </w:pPr>
      <w:r>
        <w:rPr>
          <w:rFonts w:asciiTheme="majorHAnsi" w:hAnsiTheme="majorHAnsi"/>
          <w:sz w:val="22"/>
          <w:szCs w:val="22"/>
        </w:rPr>
        <w:tab/>
      </w:r>
    </w:p>
    <w:p w:rsidR="005D1E1A" w:rsidRPr="00DF17EC" w:rsidRDefault="005D1E1A" w:rsidP="005D1E1A">
      <w:pPr>
        <w:rPr>
          <w:rFonts w:cs="Times New Roman"/>
          <w:sz w:val="22"/>
          <w:szCs w:val="22"/>
        </w:rPr>
      </w:pPr>
      <w:r>
        <w:rPr>
          <w:rFonts w:cs="Times New Roman"/>
          <w:sz w:val="22"/>
          <w:szCs w:val="22"/>
          <w:shd w:val="clear" w:color="auto" w:fill="FFFFFF"/>
        </w:rPr>
        <w:t xml:space="preserve">* Withdrawal period: </w:t>
      </w:r>
      <w:r w:rsidRPr="00DF17EC">
        <w:rPr>
          <w:rFonts w:cs="Times New Roman"/>
          <w:sz w:val="22"/>
          <w:szCs w:val="22"/>
          <w:shd w:val="clear" w:color="auto" w:fill="FFFFFF"/>
        </w:rPr>
        <w:t>MEAT: 14 days till slaughter</w:t>
      </w:r>
      <w:r>
        <w:rPr>
          <w:rFonts w:cs="Times New Roman"/>
          <w:sz w:val="22"/>
          <w:szCs w:val="22"/>
          <w:shd w:val="clear" w:color="auto" w:fill="FFFFFF"/>
        </w:rPr>
        <w:t>; M</w:t>
      </w:r>
      <w:r w:rsidRPr="00DF17EC">
        <w:rPr>
          <w:rFonts w:cs="Times New Roman"/>
          <w:sz w:val="22"/>
          <w:szCs w:val="22"/>
          <w:shd w:val="clear" w:color="auto" w:fill="FFFFFF"/>
        </w:rPr>
        <w:t>ILK: 35 days</w:t>
      </w:r>
    </w:p>
    <w:p w:rsidR="005D1E1A" w:rsidRPr="006F6D5E" w:rsidRDefault="005D1E1A" w:rsidP="00BD3499">
      <w:pPr>
        <w:tabs>
          <w:tab w:val="left" w:pos="1976"/>
        </w:tabs>
        <w:rPr>
          <w:rFonts w:asciiTheme="majorHAnsi" w:hAnsiTheme="majorHAnsi"/>
          <w:sz w:val="22"/>
          <w:szCs w:val="22"/>
        </w:rPr>
      </w:pPr>
    </w:p>
    <w:sectPr w:rsidR="005D1E1A" w:rsidRPr="006F6D5E" w:rsidSect="001E569D">
      <w:pgSz w:w="20160" w:h="12240" w:orient="landscape" w:code="5"/>
      <w:pgMar w:top="36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6D0" w:rsidRDefault="001B46D0" w:rsidP="001E569D">
      <w:pPr>
        <w:spacing w:after="0" w:line="240" w:lineRule="auto"/>
      </w:pPr>
      <w:r>
        <w:separator/>
      </w:r>
    </w:p>
  </w:endnote>
  <w:endnote w:type="continuationSeparator" w:id="0">
    <w:p w:rsidR="001B46D0" w:rsidRDefault="001B46D0" w:rsidP="001E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6D0" w:rsidRDefault="001B46D0" w:rsidP="001E569D">
      <w:pPr>
        <w:spacing w:after="0" w:line="240" w:lineRule="auto"/>
      </w:pPr>
      <w:r>
        <w:separator/>
      </w:r>
    </w:p>
  </w:footnote>
  <w:footnote w:type="continuationSeparator" w:id="0">
    <w:p w:rsidR="001B46D0" w:rsidRDefault="001B46D0" w:rsidP="001E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339FD"/>
    <w:multiLevelType w:val="hybridMultilevel"/>
    <w:tmpl w:val="DD72E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936F2"/>
    <w:multiLevelType w:val="hybridMultilevel"/>
    <w:tmpl w:val="BEB84560"/>
    <w:lvl w:ilvl="0" w:tplc="DA964DD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51616"/>
    <w:multiLevelType w:val="hybridMultilevel"/>
    <w:tmpl w:val="9C26F350"/>
    <w:lvl w:ilvl="0" w:tplc="74848CD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4326E"/>
    <w:multiLevelType w:val="hybridMultilevel"/>
    <w:tmpl w:val="86EEB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D1"/>
    <w:rsid w:val="00020761"/>
    <w:rsid w:val="00061D9D"/>
    <w:rsid w:val="000664D1"/>
    <w:rsid w:val="00105717"/>
    <w:rsid w:val="001840FE"/>
    <w:rsid w:val="00194545"/>
    <w:rsid w:val="001B46D0"/>
    <w:rsid w:val="001E0472"/>
    <w:rsid w:val="001E569D"/>
    <w:rsid w:val="0033317B"/>
    <w:rsid w:val="005A194B"/>
    <w:rsid w:val="005D1E1A"/>
    <w:rsid w:val="00614BE3"/>
    <w:rsid w:val="006650DF"/>
    <w:rsid w:val="006D0689"/>
    <w:rsid w:val="006F6D5E"/>
    <w:rsid w:val="007D44F1"/>
    <w:rsid w:val="00882DD1"/>
    <w:rsid w:val="00892D2F"/>
    <w:rsid w:val="009071E2"/>
    <w:rsid w:val="0093134A"/>
    <w:rsid w:val="00970CAA"/>
    <w:rsid w:val="00A808A0"/>
    <w:rsid w:val="00AD7CE2"/>
    <w:rsid w:val="00B31DA8"/>
    <w:rsid w:val="00BC3B5F"/>
    <w:rsid w:val="00BD3499"/>
    <w:rsid w:val="00C476D1"/>
    <w:rsid w:val="00C65D35"/>
    <w:rsid w:val="00ED0441"/>
    <w:rsid w:val="00EF14B5"/>
    <w:rsid w:val="00FE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BEC4"/>
  <w15:docId w15:val="{38EF5C97-DE63-473E-8708-EEBDAFD2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441"/>
    <w:rPr>
      <w:lang w:val="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D1"/>
    <w:rPr>
      <w:rFonts w:ascii="Tahoma" w:hAnsi="Tahoma" w:cs="Tahoma"/>
      <w:sz w:val="16"/>
      <w:szCs w:val="16"/>
      <w:lang w:val="en-TT"/>
    </w:rPr>
  </w:style>
  <w:style w:type="paragraph" w:styleId="NormalWeb">
    <w:name w:val="Normal (Web)"/>
    <w:basedOn w:val="Normal"/>
    <w:uiPriority w:val="99"/>
    <w:unhideWhenUsed/>
    <w:rsid w:val="00882DD1"/>
    <w:pPr>
      <w:spacing w:before="100" w:beforeAutospacing="1" w:after="100" w:afterAutospacing="1" w:line="240" w:lineRule="auto"/>
    </w:pPr>
    <w:rPr>
      <w:rFonts w:ascii="Times New Roman" w:eastAsia="Times New Roman" w:hAnsi="Times New Roman" w:cs="Times New Roman"/>
      <w:lang w:val="en-US"/>
    </w:rPr>
  </w:style>
  <w:style w:type="paragraph" w:styleId="Header">
    <w:name w:val="header"/>
    <w:basedOn w:val="Normal"/>
    <w:link w:val="HeaderChar"/>
    <w:uiPriority w:val="99"/>
    <w:semiHidden/>
    <w:unhideWhenUsed/>
    <w:rsid w:val="001E5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569D"/>
    <w:rPr>
      <w:lang w:val="en-TT"/>
    </w:rPr>
  </w:style>
  <w:style w:type="paragraph" w:styleId="Footer">
    <w:name w:val="footer"/>
    <w:basedOn w:val="Normal"/>
    <w:link w:val="FooterChar"/>
    <w:uiPriority w:val="99"/>
    <w:semiHidden/>
    <w:unhideWhenUsed/>
    <w:rsid w:val="001E56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569D"/>
    <w:rPr>
      <w:lang w:val="en-TT"/>
    </w:rPr>
  </w:style>
  <w:style w:type="paragraph" w:styleId="ListParagraph">
    <w:name w:val="List Paragraph"/>
    <w:basedOn w:val="Normal"/>
    <w:uiPriority w:val="34"/>
    <w:qFormat/>
    <w:rsid w:val="006F6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Maharaj</dc:creator>
  <cp:lastModifiedBy>Krystal Maharaj</cp:lastModifiedBy>
  <cp:revision>2</cp:revision>
  <dcterms:created xsi:type="dcterms:W3CDTF">2018-09-08T00:13:00Z</dcterms:created>
  <dcterms:modified xsi:type="dcterms:W3CDTF">2018-09-08T00:13:00Z</dcterms:modified>
</cp:coreProperties>
</file>