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42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50"/>
        <w:gridCol w:w="1241"/>
        <w:gridCol w:w="2474"/>
        <w:gridCol w:w="1555"/>
        <w:gridCol w:w="1866"/>
        <w:gridCol w:w="2552"/>
        <w:gridCol w:w="4819"/>
        <w:gridCol w:w="2169"/>
      </w:tblGrid>
      <w:tr w:rsidR="001E569D" w:rsidRPr="006F6D5E" w:rsidTr="00E357C3">
        <w:trPr>
          <w:trHeight w:val="663"/>
        </w:trPr>
        <w:tc>
          <w:tcPr>
            <w:tcW w:w="275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1241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2474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1555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  <w:tc>
          <w:tcPr>
            <w:tcW w:w="1866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Lethal Dose/ Toxicity</w:t>
            </w:r>
          </w:p>
        </w:tc>
        <w:tc>
          <w:tcPr>
            <w:tcW w:w="2552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Contraindications</w:t>
            </w:r>
          </w:p>
        </w:tc>
        <w:tc>
          <w:tcPr>
            <w:tcW w:w="4819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Pharmacology</w:t>
            </w:r>
          </w:p>
        </w:tc>
        <w:tc>
          <w:tcPr>
            <w:tcW w:w="2169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Adverse Effects</w:t>
            </w:r>
          </w:p>
        </w:tc>
      </w:tr>
      <w:tr w:rsidR="00061D9D" w:rsidRPr="006F6D5E" w:rsidTr="00E357C3">
        <w:trPr>
          <w:trHeight w:val="7227"/>
        </w:trPr>
        <w:tc>
          <w:tcPr>
            <w:tcW w:w="2750" w:type="dxa"/>
          </w:tcPr>
          <w:p w:rsidR="00061D9D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Oxytet LA 10% (Oxytetracycline base 100mg/mL)</w:t>
            </w:r>
          </w:p>
          <w:p w:rsidR="00F64EA4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</w:p>
          <w:p w:rsidR="00F64EA4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Oxytet LA 20%</w:t>
            </w:r>
          </w:p>
          <w:p w:rsidR="00F64EA4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(Oxytetracycline base 200mg/mL)</w:t>
            </w:r>
          </w:p>
          <w:p w:rsidR="00F64EA4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616148" cy="1905184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55" r="25140" b="14846"/>
                          <a:stretch/>
                        </pic:blipFill>
                        <pic:spPr bwMode="auto">
                          <a:xfrm>
                            <a:off x="0" y="0"/>
                            <a:ext cx="1628885" cy="192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4EA4" w:rsidRPr="00061D9D" w:rsidRDefault="00F64EA4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1" w:type="dxa"/>
          </w:tcPr>
          <w:p w:rsidR="00061D9D" w:rsidRPr="00061D9D" w:rsidRDefault="006649DF" w:rsidP="00061D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Cattle, </w:t>
            </w:r>
            <w:r w:rsidR="00E357C3">
              <w:rPr>
                <w:rFonts w:asciiTheme="majorHAnsi" w:hAnsiTheme="majorHAnsi"/>
                <w:sz w:val="22"/>
                <w:szCs w:val="22"/>
              </w:rPr>
              <w:t xml:space="preserve">Horses, </w:t>
            </w:r>
            <w:r>
              <w:rPr>
                <w:rFonts w:asciiTheme="majorHAnsi" w:hAnsiTheme="majorHAnsi"/>
                <w:sz w:val="22"/>
                <w:szCs w:val="22"/>
              </w:rPr>
              <w:t>Swine</w:t>
            </w:r>
          </w:p>
        </w:tc>
        <w:tc>
          <w:tcPr>
            <w:tcW w:w="2474" w:type="dxa"/>
          </w:tcPr>
          <w:p w:rsidR="00061D9D" w:rsidRPr="00061D9D" w:rsidRDefault="006649DF" w:rsidP="006649DF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>Oxytetracycline products are approved for use in calves, non-lactating dairy cattle, beef cattle, swine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. </w:t>
            </w:r>
            <w:r w:rsidR="008D7082">
              <w:rPr>
                <w:rFonts w:asciiTheme="majorHAnsi" w:hAnsiTheme="majorHAnsi" w:cs="Times-Roman"/>
                <w:sz w:val="22"/>
                <w:szCs w:val="22"/>
              </w:rPr>
              <w:t>Used as a broad spectrum antibiotic against gram + and gram - bacteria</w:t>
            </w:r>
          </w:p>
        </w:tc>
        <w:tc>
          <w:tcPr>
            <w:tcW w:w="1555" w:type="dxa"/>
          </w:tcPr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>
              <w:rPr>
                <w:rFonts w:asciiTheme="majorHAnsi" w:hAnsiTheme="majorHAnsi" w:cs="Times-Roman"/>
                <w:sz w:val="22"/>
                <w:szCs w:val="22"/>
              </w:rPr>
              <w:t>Cattle:</w:t>
            </w:r>
          </w:p>
          <w:p w:rsidR="00E357C3" w:rsidRP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 xml:space="preserve">5 - 10 mg/kg IM q24h or 20 </w:t>
            </w:r>
            <w:r>
              <w:rPr>
                <w:rFonts w:asciiTheme="majorHAnsi" w:hAnsiTheme="majorHAnsi" w:cs="Times-Roman"/>
                <w:sz w:val="22"/>
                <w:szCs w:val="22"/>
              </w:rPr>
              <w:t>mg/kg q48-72h IM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;</w:t>
            </w:r>
          </w:p>
          <w:p w:rsidR="00061D9D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2.5 - 5 mg/kg IV q24h</w:t>
            </w: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 xml:space="preserve">Foals: </w:t>
            </w: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5 - 10 mg/kg IV q12h</w:t>
            </w: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>
              <w:rPr>
                <w:rFonts w:asciiTheme="majorHAnsi" w:hAnsiTheme="majorHAnsi" w:cs="Times-Roman"/>
                <w:sz w:val="22"/>
                <w:szCs w:val="22"/>
              </w:rPr>
              <w:t>Swine:</w:t>
            </w:r>
          </w:p>
          <w:p w:rsidR="00E357C3" w:rsidRDefault="00E357C3" w:rsidP="00E357C3">
            <w:pPr>
              <w:rPr>
                <w:rFonts w:asciiTheme="majorHAnsi" w:hAnsiTheme="majorHAnsi" w:cs="Times-Roman"/>
                <w:sz w:val="22"/>
                <w:szCs w:val="22"/>
              </w:rPr>
            </w:pPr>
            <w:r>
              <w:rPr>
                <w:rFonts w:asciiTheme="majorHAnsi" w:hAnsiTheme="majorHAnsi" w:cs="Times-Roman"/>
                <w:sz w:val="22"/>
                <w:szCs w:val="22"/>
              </w:rPr>
              <w:t>6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- 11 mg/kg IV or IM; 10 - 20 mg/kg PO q6h</w:t>
            </w:r>
          </w:p>
          <w:p w:rsidR="00E357C3" w:rsidRPr="00061D9D" w:rsidRDefault="00E357C3" w:rsidP="00E357C3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</w:p>
        </w:tc>
        <w:tc>
          <w:tcPr>
            <w:tcW w:w="1866" w:type="dxa"/>
          </w:tcPr>
          <w:p w:rsidR="00061D9D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Tetracyclines in high levels can exert an antianabolic effect which can cause an increase in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BUN and/or hepatotoxicity</w:t>
            </w:r>
            <w:r>
              <w:rPr>
                <w:rFonts w:asciiTheme="majorHAnsi" w:hAnsiTheme="majorHAnsi" w:cs="Times-Roman"/>
                <w:sz w:val="22"/>
                <w:szCs w:val="22"/>
              </w:rPr>
              <w:t>,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 xml:space="preserve"> particularly in patients with preexisting renal dysfunction. As renal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function deteriorates secondary to drug accumulation, this effect may be exacerbated.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</w:p>
          <w:p w:rsidR="00E357C3" w:rsidRPr="00061D9D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Pr="006649DF">
              <w:rPr>
                <w:rFonts w:cs="Times New Roman"/>
                <w:sz w:val="22"/>
                <w:szCs w:val="22"/>
              </w:rPr>
              <w:t>atients hypersensitive to it or other tetracyclines. Because tetracyclines can retard fetal skeletal</w:t>
            </w:r>
          </w:p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 w:rsidRPr="006649DF">
              <w:rPr>
                <w:rFonts w:cs="Times New Roman"/>
                <w:sz w:val="22"/>
                <w:szCs w:val="22"/>
              </w:rPr>
              <w:t>development and discolor deciduous teeth, they should only be used in the last half of pregnancy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649DF">
              <w:rPr>
                <w:rFonts w:cs="Times New Roman"/>
                <w:sz w:val="22"/>
                <w:szCs w:val="22"/>
              </w:rPr>
              <w:t>when the benefits outweigh the fetal risks. Oxytetracycline and tetracycline are considered to be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649DF">
              <w:rPr>
                <w:rFonts w:cs="Times New Roman"/>
                <w:sz w:val="22"/>
                <w:szCs w:val="22"/>
              </w:rPr>
              <w:t>more likely to cause these abnormalities than either doxycycline or minocycline.</w:t>
            </w:r>
          </w:p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 w:rsidRPr="006649DF">
              <w:rPr>
                <w:rFonts w:cs="Times New Roman"/>
                <w:sz w:val="22"/>
                <w:szCs w:val="22"/>
              </w:rPr>
              <w:t>In patients with renal insufficiency or hepatic impairment, oxytetracycline and tetracycline must</w:t>
            </w:r>
          </w:p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 w:rsidRPr="006649DF">
              <w:rPr>
                <w:rFonts w:cs="Times New Roman"/>
                <w:sz w:val="22"/>
                <w:szCs w:val="22"/>
              </w:rPr>
              <w:t>be used cautiously. Lower than normal dosages are recommended with enhanced monitoring of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649DF">
              <w:rPr>
                <w:rFonts w:cs="Times New Roman"/>
                <w:sz w:val="22"/>
                <w:szCs w:val="22"/>
              </w:rPr>
              <w:t>renal and hepatic function. Avoid concurrent administration of other nephrotoxic or hepatotoxic</w:t>
            </w:r>
          </w:p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 w:rsidRPr="006649DF">
              <w:rPr>
                <w:rFonts w:cs="Times New Roman"/>
                <w:sz w:val="22"/>
                <w:szCs w:val="22"/>
              </w:rPr>
              <w:t>drugs if tetracyclines are administered to these patients. Monitoring of serum levels should be</w:t>
            </w:r>
          </w:p>
          <w:p w:rsidR="006649DF" w:rsidRPr="006649DF" w:rsidRDefault="006649DF" w:rsidP="006649DF">
            <w:pPr>
              <w:rPr>
                <w:rFonts w:cs="Times New Roman"/>
                <w:sz w:val="22"/>
                <w:szCs w:val="22"/>
              </w:rPr>
            </w:pPr>
            <w:r w:rsidRPr="006649DF">
              <w:rPr>
                <w:rFonts w:cs="Times New Roman"/>
                <w:sz w:val="22"/>
                <w:szCs w:val="22"/>
              </w:rPr>
              <w:t>considered if long-term therapy is required.</w:t>
            </w:r>
          </w:p>
          <w:p w:rsidR="00061D9D" w:rsidRPr="00DF17EC" w:rsidRDefault="00061D9D" w:rsidP="006649D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6649DF" w:rsidRPr="006649DF" w:rsidRDefault="006649DF" w:rsidP="006649D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>Tetracyclines generally act as bacteriostatic antibiotics and inhibit protein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synthesis by reversibly binding to 30S ribosomal subunits of </w:t>
            </w:r>
            <w:r>
              <w:rPr>
                <w:rFonts w:asciiTheme="majorHAnsi" w:hAnsiTheme="majorHAnsi" w:cs="Times-Roman"/>
                <w:sz w:val="22"/>
                <w:szCs w:val="22"/>
              </w:rPr>
              <w:t>s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usceptible organisms, thereby</w:t>
            </w:r>
          </w:p>
          <w:p w:rsidR="006649DF" w:rsidRPr="006649DF" w:rsidRDefault="006649DF" w:rsidP="006649D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>preventing binding to those ribosomes of aminoacyl transfer-RNA. Tetracyclines also are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believed to reversibly bind to 50S ribosomes and additionally alter cytoplasmic membrane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permeability in susceptible organisms. In high concentrations, tetracyclines can also inhibit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protein synthesis by mammalian cells.</w:t>
            </w:r>
          </w:p>
          <w:p w:rsidR="006649DF" w:rsidRPr="006649DF" w:rsidRDefault="006649DF" w:rsidP="006649D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As a class, the tetracyclines have activity against most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mycoplasma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, spirochetes (including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Lyme disease organism),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Chlamydia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, 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Rickettsia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. Against gram positive bacteria,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tetracyclines have activity against some strains of staphylococci and streptococci, but resistance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of these organisms is increasing. Gram positive bacteria that are usually covered by tetracyclines,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include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Actinomyces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sp.,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Bacillus anthracis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,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Clostridium perfringens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tetani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,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Listeria</w:t>
            </w:r>
            <w:r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monocytogenes,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Nocardia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. Among gram negative bacteria that tetracyclines usually have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in</w:t>
            </w:r>
            <w:r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vitro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in vivo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activity against include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Bordetella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sp.,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Brucella, Bartonella, Haemophilus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sp.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,</w:t>
            </w:r>
            <w:r w:rsidR="008D7082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Pasturella multocida, Shigella,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Yersinia pestis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. Many or most strains of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>E. coli, Klebsiella,</w:t>
            </w:r>
            <w:r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Bacteroides, Enterobacter, Proteus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and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Pseudomonas aeruginosa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are resistant to the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tetracyclines. While most strains of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Pseudomonas aeruginosa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show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in vitro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resistance to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tetracyclines, those compounds attaining high urine levels (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e.g.,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tetracycline, oxytetracycline)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have been associated with clinical cures in dogs with UTI secondary to this organism.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</w:p>
          <w:p w:rsidR="006649DF" w:rsidRPr="006649DF" w:rsidRDefault="006649DF" w:rsidP="006649DF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>Oxytetracycline and tetracycline share nearly identical spectrums of activity and patterns of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 xml:space="preserve">cross-resistance and a tetracycline susceptibility disk is usually used for </w:t>
            </w:r>
            <w:r w:rsidRPr="006649DF">
              <w:rPr>
                <w:rFonts w:asciiTheme="majorHAnsi" w:hAnsiTheme="majorHAnsi" w:cs="Times-Roman"/>
                <w:i/>
                <w:iCs/>
                <w:sz w:val="22"/>
                <w:szCs w:val="22"/>
              </w:rPr>
              <w:t xml:space="preserve">in vitro </w:t>
            </w:r>
            <w:r w:rsidRPr="006649DF">
              <w:rPr>
                <w:rFonts w:asciiTheme="majorHAnsi" w:hAnsiTheme="majorHAnsi" w:cs="Times-Roman"/>
                <w:sz w:val="22"/>
                <w:szCs w:val="22"/>
              </w:rPr>
              <w:t>testing for</w:t>
            </w:r>
          </w:p>
          <w:p w:rsidR="00061D9D" w:rsidRPr="00061D9D" w:rsidRDefault="006649DF" w:rsidP="006649DF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649DF">
              <w:rPr>
                <w:rFonts w:asciiTheme="majorHAnsi" w:hAnsiTheme="majorHAnsi" w:cs="Times-Roman"/>
                <w:sz w:val="22"/>
                <w:szCs w:val="22"/>
              </w:rPr>
              <w:t>oxytetracycline susceptibility.</w:t>
            </w:r>
          </w:p>
        </w:tc>
        <w:tc>
          <w:tcPr>
            <w:tcW w:w="2169" w:type="dxa"/>
          </w:tcPr>
          <w:p w:rsidR="00E357C3" w:rsidRPr="00E357C3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Oxytetracycline and tetracycline given to young animals can cause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discoloration of bones and teeth to a yellow, brown, or gray color. High dosages or chronic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E357C3">
              <w:rPr>
                <w:rFonts w:asciiTheme="majorHAnsi" w:hAnsiTheme="majorHAnsi" w:cs="Times-Roman"/>
                <w:sz w:val="22"/>
                <w:szCs w:val="22"/>
              </w:rPr>
              <w:t>administration may delay bone growth and healing.</w:t>
            </w:r>
          </w:p>
          <w:p w:rsidR="00E357C3" w:rsidRPr="00E357C3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In ruminants, high oral doses can cause ruminal microflora depression and ruminoreticular</w:t>
            </w:r>
          </w:p>
          <w:p w:rsidR="00E357C3" w:rsidRPr="00E357C3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stasis. Rapid intravenous injection of undiluted propylene glycol-based products can cause</w:t>
            </w:r>
          </w:p>
          <w:p w:rsidR="00061D9D" w:rsidRPr="00E357C3" w:rsidRDefault="00E357C3" w:rsidP="00E357C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E357C3">
              <w:rPr>
                <w:rFonts w:asciiTheme="majorHAnsi" w:hAnsiTheme="majorHAnsi" w:cs="Times-Roman"/>
                <w:sz w:val="22"/>
                <w:szCs w:val="22"/>
              </w:rPr>
              <w:t>intravascular hemolysis wit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h resultant hemoglobinuria. </w:t>
            </w:r>
          </w:p>
        </w:tc>
      </w:tr>
    </w:tbl>
    <w:p w:rsidR="00105717" w:rsidRPr="006F6D5E" w:rsidRDefault="00BD3499" w:rsidP="00BD3499">
      <w:pPr>
        <w:tabs>
          <w:tab w:val="left" w:pos="1976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sectPr w:rsidR="00105717" w:rsidRP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56C" w:rsidRDefault="0089156C" w:rsidP="001E569D">
      <w:pPr>
        <w:spacing w:after="0" w:line="240" w:lineRule="auto"/>
      </w:pPr>
      <w:r>
        <w:separator/>
      </w:r>
    </w:p>
  </w:endnote>
  <w:endnote w:type="continuationSeparator" w:id="0">
    <w:p w:rsidR="0089156C" w:rsidRDefault="0089156C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56C" w:rsidRDefault="0089156C" w:rsidP="001E569D">
      <w:pPr>
        <w:spacing w:after="0" w:line="240" w:lineRule="auto"/>
      </w:pPr>
      <w:r>
        <w:separator/>
      </w:r>
    </w:p>
  </w:footnote>
  <w:footnote w:type="continuationSeparator" w:id="0">
    <w:p w:rsidR="0089156C" w:rsidRDefault="0089156C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1"/>
    <w:rsid w:val="00020761"/>
    <w:rsid w:val="00061D9D"/>
    <w:rsid w:val="000664D1"/>
    <w:rsid w:val="00105717"/>
    <w:rsid w:val="001840FE"/>
    <w:rsid w:val="001E0472"/>
    <w:rsid w:val="001E569D"/>
    <w:rsid w:val="0033317B"/>
    <w:rsid w:val="00483145"/>
    <w:rsid w:val="005A194B"/>
    <w:rsid w:val="00614BE3"/>
    <w:rsid w:val="006649DF"/>
    <w:rsid w:val="006650DF"/>
    <w:rsid w:val="006D0689"/>
    <w:rsid w:val="006F6D5E"/>
    <w:rsid w:val="007D44F1"/>
    <w:rsid w:val="00882DD1"/>
    <w:rsid w:val="0089156C"/>
    <w:rsid w:val="00892D2F"/>
    <w:rsid w:val="008D7082"/>
    <w:rsid w:val="009071E2"/>
    <w:rsid w:val="0093134A"/>
    <w:rsid w:val="00970CAA"/>
    <w:rsid w:val="00A808A0"/>
    <w:rsid w:val="00AD7CE2"/>
    <w:rsid w:val="00B31DA8"/>
    <w:rsid w:val="00BC3B5F"/>
    <w:rsid w:val="00BD3499"/>
    <w:rsid w:val="00C476D1"/>
    <w:rsid w:val="00C65D35"/>
    <w:rsid w:val="00D73562"/>
    <w:rsid w:val="00E357C3"/>
    <w:rsid w:val="00ED0441"/>
    <w:rsid w:val="00EF14B5"/>
    <w:rsid w:val="00F64EA4"/>
    <w:rsid w:val="00FD5C20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7131"/>
  <w15:docId w15:val="{38EF5C97-DE63-473E-8708-EEBDAFD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4</cp:revision>
  <dcterms:created xsi:type="dcterms:W3CDTF">2018-09-08T00:54:00Z</dcterms:created>
  <dcterms:modified xsi:type="dcterms:W3CDTF">2018-09-08T06:29:00Z</dcterms:modified>
</cp:coreProperties>
</file>