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436"/>
        <w:tblW w:w="19482" w:type="dxa"/>
        <w:tblLayout w:type="fixed"/>
        <w:tblLook w:val="04A0" w:firstRow="1" w:lastRow="0" w:firstColumn="1" w:lastColumn="0" w:noHBand="0" w:noVBand="1"/>
      </w:tblPr>
      <w:tblGrid>
        <w:gridCol w:w="2689"/>
        <w:gridCol w:w="992"/>
        <w:gridCol w:w="2551"/>
        <w:gridCol w:w="3119"/>
        <w:gridCol w:w="1843"/>
        <w:gridCol w:w="2126"/>
        <w:gridCol w:w="3118"/>
        <w:gridCol w:w="3044"/>
      </w:tblGrid>
      <w:tr w:rsidR="001D37BF" w:rsidRPr="001D37BF" w:rsidTr="00B20E5F">
        <w:trPr>
          <w:trHeight w:val="748"/>
        </w:trPr>
        <w:tc>
          <w:tcPr>
            <w:tcW w:w="2689" w:type="dxa"/>
          </w:tcPr>
          <w:p w:rsidR="001D37BF" w:rsidRPr="001D37BF" w:rsidRDefault="001D37BF" w:rsidP="001D37BF">
            <w:pPr>
              <w:tabs>
                <w:tab w:val="right" w:pos="2542"/>
              </w:tabs>
              <w:rPr>
                <w:b/>
                <w:sz w:val="22"/>
                <w:szCs w:val="22"/>
              </w:rPr>
            </w:pPr>
            <w:r w:rsidRPr="001D37BF">
              <w:rPr>
                <w:b/>
                <w:sz w:val="22"/>
                <w:szCs w:val="22"/>
              </w:rPr>
              <w:t>Drug</w:t>
            </w:r>
            <w:r>
              <w:rPr>
                <w:b/>
                <w:sz w:val="22"/>
                <w:szCs w:val="22"/>
              </w:rPr>
              <w:tab/>
            </w:r>
          </w:p>
        </w:tc>
        <w:tc>
          <w:tcPr>
            <w:tcW w:w="992" w:type="dxa"/>
          </w:tcPr>
          <w:p w:rsidR="001D37BF" w:rsidRPr="001D37BF" w:rsidRDefault="001D37BF" w:rsidP="001D37BF">
            <w:pPr>
              <w:rPr>
                <w:b/>
                <w:sz w:val="22"/>
                <w:szCs w:val="22"/>
              </w:rPr>
            </w:pPr>
            <w:r w:rsidRPr="001D37BF">
              <w:rPr>
                <w:b/>
                <w:sz w:val="22"/>
                <w:szCs w:val="22"/>
              </w:rPr>
              <w:t>Species</w:t>
            </w:r>
          </w:p>
        </w:tc>
        <w:tc>
          <w:tcPr>
            <w:tcW w:w="2551" w:type="dxa"/>
          </w:tcPr>
          <w:p w:rsidR="001D37BF" w:rsidRPr="001D37BF" w:rsidRDefault="001D37BF" w:rsidP="001D37BF">
            <w:pPr>
              <w:rPr>
                <w:b/>
                <w:sz w:val="22"/>
                <w:szCs w:val="22"/>
              </w:rPr>
            </w:pPr>
            <w:r w:rsidRPr="001D37BF">
              <w:rPr>
                <w:b/>
                <w:sz w:val="22"/>
                <w:szCs w:val="22"/>
              </w:rPr>
              <w:t>Indications</w:t>
            </w:r>
          </w:p>
        </w:tc>
        <w:tc>
          <w:tcPr>
            <w:tcW w:w="3119" w:type="dxa"/>
          </w:tcPr>
          <w:p w:rsidR="001D37BF" w:rsidRPr="001D37BF" w:rsidRDefault="001D37BF" w:rsidP="001D37BF">
            <w:pPr>
              <w:rPr>
                <w:b/>
                <w:sz w:val="22"/>
                <w:szCs w:val="22"/>
              </w:rPr>
            </w:pPr>
            <w:r w:rsidRPr="001D37BF">
              <w:rPr>
                <w:b/>
                <w:sz w:val="22"/>
                <w:szCs w:val="22"/>
              </w:rPr>
              <w:t>Therapeutic Dose</w:t>
            </w:r>
          </w:p>
        </w:tc>
        <w:tc>
          <w:tcPr>
            <w:tcW w:w="1843" w:type="dxa"/>
          </w:tcPr>
          <w:p w:rsidR="001D37BF" w:rsidRPr="001D37BF" w:rsidRDefault="001D37BF" w:rsidP="001D37BF">
            <w:pPr>
              <w:rPr>
                <w:b/>
                <w:sz w:val="22"/>
                <w:szCs w:val="22"/>
              </w:rPr>
            </w:pPr>
            <w:r w:rsidRPr="001D37BF">
              <w:rPr>
                <w:b/>
                <w:sz w:val="22"/>
                <w:szCs w:val="22"/>
              </w:rPr>
              <w:t>Lethal Dose/ Toxicity</w:t>
            </w:r>
          </w:p>
        </w:tc>
        <w:tc>
          <w:tcPr>
            <w:tcW w:w="2126" w:type="dxa"/>
          </w:tcPr>
          <w:p w:rsidR="001D37BF" w:rsidRPr="001D37BF" w:rsidRDefault="001D37BF" w:rsidP="001D37BF">
            <w:pPr>
              <w:rPr>
                <w:b/>
                <w:sz w:val="22"/>
                <w:szCs w:val="22"/>
              </w:rPr>
            </w:pPr>
            <w:r w:rsidRPr="001D37BF">
              <w:rPr>
                <w:b/>
                <w:sz w:val="22"/>
                <w:szCs w:val="22"/>
              </w:rPr>
              <w:t>Contraindications</w:t>
            </w:r>
          </w:p>
        </w:tc>
        <w:tc>
          <w:tcPr>
            <w:tcW w:w="3118" w:type="dxa"/>
          </w:tcPr>
          <w:p w:rsidR="001D37BF" w:rsidRPr="001D37BF" w:rsidRDefault="001D37BF" w:rsidP="001D37BF">
            <w:pPr>
              <w:rPr>
                <w:b/>
                <w:sz w:val="22"/>
                <w:szCs w:val="22"/>
              </w:rPr>
            </w:pPr>
            <w:r w:rsidRPr="001D37BF">
              <w:rPr>
                <w:b/>
                <w:sz w:val="22"/>
                <w:szCs w:val="22"/>
              </w:rPr>
              <w:t>Pharmacology</w:t>
            </w:r>
          </w:p>
        </w:tc>
        <w:tc>
          <w:tcPr>
            <w:tcW w:w="3044" w:type="dxa"/>
          </w:tcPr>
          <w:p w:rsidR="001D37BF" w:rsidRPr="001D37BF" w:rsidRDefault="001D37BF" w:rsidP="001D37BF">
            <w:pPr>
              <w:rPr>
                <w:b/>
                <w:sz w:val="22"/>
                <w:szCs w:val="22"/>
              </w:rPr>
            </w:pPr>
            <w:r w:rsidRPr="001D37BF">
              <w:rPr>
                <w:b/>
                <w:sz w:val="22"/>
                <w:szCs w:val="22"/>
              </w:rPr>
              <w:t>Adverse Effects</w:t>
            </w:r>
          </w:p>
        </w:tc>
      </w:tr>
      <w:tr w:rsidR="001D37BF" w:rsidRPr="001D37BF" w:rsidTr="00B20E5F">
        <w:trPr>
          <w:trHeight w:val="8145"/>
        </w:trPr>
        <w:tc>
          <w:tcPr>
            <w:tcW w:w="2689" w:type="dxa"/>
          </w:tcPr>
          <w:p w:rsidR="001D37BF" w:rsidRPr="001D37BF" w:rsidRDefault="001D37BF" w:rsidP="001D37BF">
            <w:pPr>
              <w:ind w:left="-108"/>
              <w:rPr>
                <w:sz w:val="22"/>
                <w:szCs w:val="22"/>
              </w:rPr>
            </w:pPr>
            <w:proofErr w:type="spellStart"/>
            <w:r w:rsidRPr="001D37BF">
              <w:rPr>
                <w:sz w:val="22"/>
                <w:szCs w:val="22"/>
              </w:rPr>
              <w:t>Kelacyl</w:t>
            </w:r>
            <w:proofErr w:type="spellEnd"/>
            <w:r w:rsidRPr="001D37BF">
              <w:rPr>
                <w:sz w:val="22"/>
                <w:szCs w:val="22"/>
                <w:vertAlign w:val="superscript"/>
              </w:rPr>
              <w:t>®</w:t>
            </w:r>
            <w:r w:rsidRPr="001D37BF">
              <w:rPr>
                <w:sz w:val="22"/>
                <w:szCs w:val="22"/>
              </w:rPr>
              <w:t xml:space="preserve"> </w:t>
            </w:r>
          </w:p>
          <w:p w:rsidR="001D37BF" w:rsidRPr="001D37BF" w:rsidRDefault="001D37BF" w:rsidP="001D37BF">
            <w:pPr>
              <w:ind w:left="-108"/>
              <w:rPr>
                <w:sz w:val="22"/>
                <w:szCs w:val="22"/>
              </w:rPr>
            </w:pPr>
            <w:r w:rsidRPr="001D37BF">
              <w:rPr>
                <w:sz w:val="22"/>
                <w:szCs w:val="22"/>
              </w:rPr>
              <w:t xml:space="preserve"> (Marbofloxacin)</w:t>
            </w:r>
          </w:p>
          <w:p w:rsidR="001D37BF" w:rsidRPr="001D37BF" w:rsidRDefault="001D37BF" w:rsidP="001D37BF">
            <w:pPr>
              <w:ind w:left="-108"/>
              <w:rPr>
                <w:sz w:val="22"/>
                <w:szCs w:val="22"/>
              </w:rPr>
            </w:pPr>
            <w:r w:rsidRPr="001D37BF">
              <w:rPr>
                <w:noProof/>
              </w:rPr>
              <w:drawing>
                <wp:inline distT="0" distB="0" distL="0" distR="0" wp14:anchorId="2D5B03DB" wp14:editId="17AFC1A7">
                  <wp:extent cx="1666294" cy="250928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7958" t="57663" r="24540" b="-41"/>
                          <a:stretch/>
                        </pic:blipFill>
                        <pic:spPr bwMode="auto">
                          <a:xfrm>
                            <a:off x="0" y="0"/>
                            <a:ext cx="1679064" cy="2528515"/>
                          </a:xfrm>
                          <a:prstGeom prst="rect">
                            <a:avLst/>
                          </a:prstGeom>
                          <a:noFill/>
                          <a:ln>
                            <a:noFill/>
                          </a:ln>
                          <a:extLst>
                            <a:ext uri="{53640926-AAD7-44D8-BBD7-CCE9431645EC}">
                              <a14:shadowObscured xmlns:a14="http://schemas.microsoft.com/office/drawing/2010/main"/>
                            </a:ext>
                          </a:extLst>
                        </pic:spPr>
                      </pic:pic>
                    </a:graphicData>
                  </a:graphic>
                </wp:inline>
              </w:drawing>
            </w:r>
          </w:p>
          <w:p w:rsidR="001D37BF" w:rsidRPr="001D37BF" w:rsidRDefault="001D37BF" w:rsidP="001D37BF">
            <w:pPr>
              <w:ind w:left="-108"/>
              <w:rPr>
                <w:sz w:val="22"/>
                <w:szCs w:val="22"/>
              </w:rPr>
            </w:pPr>
          </w:p>
        </w:tc>
        <w:tc>
          <w:tcPr>
            <w:tcW w:w="992" w:type="dxa"/>
          </w:tcPr>
          <w:p w:rsidR="001D37BF" w:rsidRPr="001D37BF" w:rsidRDefault="001D37BF" w:rsidP="001D37BF">
            <w:pPr>
              <w:rPr>
                <w:sz w:val="22"/>
                <w:szCs w:val="22"/>
              </w:rPr>
            </w:pPr>
            <w:r w:rsidRPr="001D37BF">
              <w:rPr>
                <w:sz w:val="22"/>
                <w:szCs w:val="22"/>
              </w:rPr>
              <w:t>Cattle, Swine</w:t>
            </w:r>
          </w:p>
        </w:tc>
        <w:tc>
          <w:tcPr>
            <w:tcW w:w="2551" w:type="dxa"/>
          </w:tcPr>
          <w:p w:rsidR="001D37BF" w:rsidRPr="001D37BF" w:rsidRDefault="001D37BF" w:rsidP="001D37BF">
            <w:pPr>
              <w:autoSpaceDE w:val="0"/>
              <w:autoSpaceDN w:val="0"/>
              <w:adjustRightInd w:val="0"/>
              <w:rPr>
                <w:rFonts w:cs="Times-Roman"/>
                <w:sz w:val="22"/>
                <w:szCs w:val="22"/>
              </w:rPr>
            </w:pPr>
            <w:r w:rsidRPr="001D37BF">
              <w:rPr>
                <w:rFonts w:cs="Times-Roman"/>
                <w:sz w:val="22"/>
                <w:szCs w:val="22"/>
                <w:lang w:val="en-TT"/>
              </w:rPr>
              <w:t xml:space="preserve">In cattle: </w:t>
            </w:r>
          </w:p>
          <w:p w:rsidR="001D37BF" w:rsidRPr="001D37BF" w:rsidRDefault="001D37BF" w:rsidP="001D37BF">
            <w:pPr>
              <w:autoSpaceDE w:val="0"/>
              <w:autoSpaceDN w:val="0"/>
              <w:adjustRightInd w:val="0"/>
              <w:rPr>
                <w:rFonts w:cs="Times-Roman"/>
                <w:sz w:val="22"/>
                <w:szCs w:val="22"/>
              </w:rPr>
            </w:pPr>
            <w:r w:rsidRPr="001D37BF">
              <w:rPr>
                <w:rFonts w:cs="Times-Roman"/>
                <w:sz w:val="22"/>
                <w:szCs w:val="22"/>
                <w:lang w:val="en-TT"/>
              </w:rPr>
              <w:t xml:space="preserve">- treatment of respiratory </w:t>
            </w:r>
            <w:r>
              <w:rPr>
                <w:rFonts w:cs="Times-Roman"/>
                <w:sz w:val="22"/>
                <w:szCs w:val="22"/>
                <w:lang w:val="en-TT"/>
              </w:rPr>
              <w:t>i</w:t>
            </w:r>
            <w:r w:rsidRPr="001D37BF">
              <w:rPr>
                <w:rFonts w:cs="Times-Roman"/>
                <w:sz w:val="22"/>
                <w:szCs w:val="22"/>
                <w:lang w:val="en-TT"/>
              </w:rPr>
              <w:t xml:space="preserve">nfections caused by strains of </w:t>
            </w:r>
            <w:proofErr w:type="spellStart"/>
            <w:r w:rsidRPr="001D37BF">
              <w:rPr>
                <w:rFonts w:cs="Times-Roman"/>
                <w:i/>
                <w:sz w:val="22"/>
                <w:szCs w:val="22"/>
                <w:lang w:val="en-TT"/>
              </w:rPr>
              <w:t>Histophilus</w:t>
            </w:r>
            <w:proofErr w:type="spellEnd"/>
            <w:r w:rsidRPr="001D37BF">
              <w:rPr>
                <w:rFonts w:cs="Times-Roman"/>
                <w:i/>
                <w:sz w:val="22"/>
                <w:szCs w:val="22"/>
                <w:lang w:val="en-TT"/>
              </w:rPr>
              <w:t xml:space="preserve"> </w:t>
            </w:r>
            <w:proofErr w:type="spellStart"/>
            <w:r w:rsidRPr="001D37BF">
              <w:rPr>
                <w:rFonts w:cs="Times-Roman"/>
                <w:i/>
                <w:sz w:val="22"/>
                <w:szCs w:val="22"/>
                <w:lang w:val="en-TT"/>
              </w:rPr>
              <w:t>somni</w:t>
            </w:r>
            <w:proofErr w:type="spellEnd"/>
            <w:r w:rsidRPr="001D37BF">
              <w:rPr>
                <w:rFonts w:cs="Times-Roman"/>
                <w:i/>
                <w:sz w:val="22"/>
                <w:szCs w:val="22"/>
                <w:lang w:val="en-TT"/>
              </w:rPr>
              <w:t>,</w:t>
            </w:r>
            <w:r w:rsidRPr="001D37BF">
              <w:rPr>
                <w:rFonts w:cs="Times-Roman"/>
                <w:sz w:val="22"/>
                <w:szCs w:val="22"/>
                <w:lang w:val="en-TT"/>
              </w:rPr>
              <w:t xml:space="preserve"> </w:t>
            </w:r>
            <w:proofErr w:type="spellStart"/>
            <w:r w:rsidRPr="001D37BF">
              <w:rPr>
                <w:rFonts w:cs="Times-Roman"/>
                <w:i/>
                <w:sz w:val="22"/>
                <w:szCs w:val="22"/>
                <w:lang w:val="en-TT"/>
              </w:rPr>
              <w:t>Mannheimia</w:t>
            </w:r>
            <w:proofErr w:type="spellEnd"/>
            <w:r w:rsidRPr="001D37BF">
              <w:rPr>
                <w:rFonts w:cs="Times-Roman"/>
                <w:i/>
                <w:sz w:val="22"/>
                <w:szCs w:val="22"/>
                <w:lang w:val="en-TT"/>
              </w:rPr>
              <w:t xml:space="preserve"> </w:t>
            </w:r>
            <w:proofErr w:type="spellStart"/>
            <w:r w:rsidRPr="001D37BF">
              <w:rPr>
                <w:rFonts w:cs="Times-Roman"/>
                <w:i/>
                <w:sz w:val="22"/>
                <w:szCs w:val="22"/>
                <w:lang w:val="en-TT"/>
              </w:rPr>
              <w:t>haemolytica</w:t>
            </w:r>
            <w:proofErr w:type="spellEnd"/>
            <w:r w:rsidRPr="001D37BF">
              <w:rPr>
                <w:rFonts w:cs="Times-Roman"/>
                <w:sz w:val="22"/>
                <w:szCs w:val="22"/>
                <w:lang w:val="en-TT"/>
              </w:rPr>
              <w:t xml:space="preserve">, </w:t>
            </w:r>
            <w:r w:rsidRPr="001D37BF">
              <w:rPr>
                <w:rFonts w:cs="Times-Roman"/>
                <w:i/>
                <w:sz w:val="22"/>
                <w:szCs w:val="22"/>
                <w:lang w:val="en-TT"/>
              </w:rPr>
              <w:t xml:space="preserve">Mycoplasma </w:t>
            </w:r>
            <w:proofErr w:type="spellStart"/>
            <w:r w:rsidRPr="001D37BF">
              <w:rPr>
                <w:rFonts w:cs="Times-Roman"/>
                <w:i/>
                <w:sz w:val="22"/>
                <w:szCs w:val="22"/>
                <w:lang w:val="en-TT"/>
              </w:rPr>
              <w:t>bovis</w:t>
            </w:r>
            <w:proofErr w:type="spellEnd"/>
            <w:r w:rsidRPr="001D37BF">
              <w:rPr>
                <w:rFonts w:cs="Times-Roman"/>
                <w:i/>
                <w:sz w:val="22"/>
                <w:szCs w:val="22"/>
                <w:lang w:val="en-TT"/>
              </w:rPr>
              <w:t xml:space="preserve">, Pasteurella </w:t>
            </w:r>
            <w:proofErr w:type="spellStart"/>
            <w:r w:rsidRPr="001D37BF">
              <w:rPr>
                <w:rFonts w:cs="Times-Roman"/>
                <w:i/>
                <w:sz w:val="22"/>
                <w:szCs w:val="22"/>
                <w:lang w:val="en-TT"/>
              </w:rPr>
              <w:t>multocida</w:t>
            </w:r>
            <w:proofErr w:type="spellEnd"/>
            <w:r w:rsidRPr="001D37BF">
              <w:rPr>
                <w:rFonts w:cs="Times-Roman"/>
                <w:sz w:val="22"/>
                <w:szCs w:val="22"/>
                <w:lang w:val="en-TT"/>
              </w:rPr>
              <w:t xml:space="preserve"> susceptible to marbofloxacin.</w:t>
            </w:r>
          </w:p>
          <w:p w:rsidR="001D37BF" w:rsidRPr="001D37BF" w:rsidRDefault="001D37BF" w:rsidP="001D37BF">
            <w:pPr>
              <w:autoSpaceDE w:val="0"/>
              <w:autoSpaceDN w:val="0"/>
              <w:adjustRightInd w:val="0"/>
              <w:rPr>
                <w:rFonts w:cs="Times-Roman"/>
                <w:sz w:val="22"/>
                <w:szCs w:val="22"/>
              </w:rPr>
            </w:pPr>
            <w:r w:rsidRPr="001D37BF">
              <w:rPr>
                <w:rFonts w:cs="Times-Roman"/>
                <w:sz w:val="22"/>
                <w:szCs w:val="22"/>
                <w:lang w:val="en-TT"/>
              </w:rPr>
              <w:t xml:space="preserve"> - treatment of acute mastitis caused by strains of Escherichia coli susceptible to marbofloxacin during the lactation period.</w:t>
            </w:r>
          </w:p>
          <w:p w:rsidR="001D37BF" w:rsidRPr="001D37BF" w:rsidRDefault="001D37BF" w:rsidP="001D37BF">
            <w:pPr>
              <w:autoSpaceDE w:val="0"/>
              <w:autoSpaceDN w:val="0"/>
              <w:adjustRightInd w:val="0"/>
              <w:rPr>
                <w:rFonts w:cs="Times-Roman"/>
                <w:sz w:val="22"/>
                <w:szCs w:val="22"/>
              </w:rPr>
            </w:pPr>
          </w:p>
          <w:p w:rsidR="001D37BF" w:rsidRPr="001D37BF" w:rsidRDefault="001D37BF" w:rsidP="001D37BF">
            <w:pPr>
              <w:autoSpaceDE w:val="0"/>
              <w:autoSpaceDN w:val="0"/>
              <w:adjustRightInd w:val="0"/>
              <w:rPr>
                <w:rFonts w:cs="Times-Roman"/>
                <w:sz w:val="22"/>
                <w:szCs w:val="22"/>
              </w:rPr>
            </w:pPr>
            <w:r w:rsidRPr="001D37BF">
              <w:rPr>
                <w:rFonts w:cs="Times-Roman"/>
                <w:sz w:val="22"/>
                <w:szCs w:val="22"/>
                <w:lang w:val="en-TT"/>
              </w:rPr>
              <w:t>In pigs:</w:t>
            </w:r>
          </w:p>
          <w:p w:rsidR="001D37BF" w:rsidRPr="001D37BF" w:rsidRDefault="001D37BF" w:rsidP="001D37BF">
            <w:pPr>
              <w:autoSpaceDE w:val="0"/>
              <w:autoSpaceDN w:val="0"/>
              <w:adjustRightInd w:val="0"/>
              <w:rPr>
                <w:rFonts w:cs="Times-Roman"/>
                <w:sz w:val="22"/>
                <w:szCs w:val="22"/>
              </w:rPr>
            </w:pPr>
            <w:r w:rsidRPr="001D37BF">
              <w:rPr>
                <w:rFonts w:cs="Times-Roman"/>
                <w:sz w:val="22"/>
                <w:szCs w:val="22"/>
                <w:lang w:val="en-TT"/>
              </w:rPr>
              <w:t xml:space="preserve"> - treatment of Postpartum </w:t>
            </w:r>
            <w:proofErr w:type="spellStart"/>
            <w:r w:rsidRPr="001D37BF">
              <w:rPr>
                <w:rFonts w:cs="Times-Roman"/>
                <w:sz w:val="22"/>
                <w:szCs w:val="22"/>
                <w:lang w:val="en-TT"/>
              </w:rPr>
              <w:t>Dysgalactia</w:t>
            </w:r>
            <w:proofErr w:type="spellEnd"/>
            <w:r w:rsidRPr="001D37BF">
              <w:rPr>
                <w:rFonts w:cs="Times-Roman"/>
                <w:sz w:val="22"/>
                <w:szCs w:val="22"/>
                <w:lang w:val="en-TT"/>
              </w:rPr>
              <w:t xml:space="preserve"> Syndrome –PDS</w:t>
            </w:r>
            <w:proofErr w:type="gramStart"/>
            <w:r w:rsidRPr="001D37BF">
              <w:rPr>
                <w:rFonts w:cs="Times-Roman"/>
                <w:sz w:val="22"/>
                <w:szCs w:val="22"/>
                <w:lang w:val="en-TT"/>
              </w:rPr>
              <w:t>-(</w:t>
            </w:r>
            <w:proofErr w:type="gramEnd"/>
            <w:r w:rsidRPr="001D37BF">
              <w:rPr>
                <w:rFonts w:cs="Times-Roman"/>
                <w:sz w:val="22"/>
                <w:szCs w:val="22"/>
                <w:lang w:val="en-TT"/>
              </w:rPr>
              <w:t>Metritis Mastitis Agalactia syndrome), caused by bacterial strains susceptible to marbofloxacin.</w:t>
            </w:r>
          </w:p>
        </w:tc>
        <w:tc>
          <w:tcPr>
            <w:tcW w:w="3119" w:type="dxa"/>
          </w:tcPr>
          <w:p w:rsidR="001D37BF" w:rsidRPr="001D37BF" w:rsidRDefault="001D37BF" w:rsidP="001D37BF">
            <w:pPr>
              <w:rPr>
                <w:sz w:val="22"/>
                <w:szCs w:val="22"/>
              </w:rPr>
            </w:pPr>
            <w:r w:rsidRPr="001D37BF">
              <w:rPr>
                <w:sz w:val="22"/>
                <w:szCs w:val="22"/>
              </w:rPr>
              <w:t>Cattle: Intramuscular, subcutaneous or intravenous</w:t>
            </w:r>
          </w:p>
          <w:p w:rsidR="001D37BF" w:rsidRPr="001D37BF" w:rsidRDefault="001D37BF" w:rsidP="001D37BF">
            <w:pPr>
              <w:rPr>
                <w:sz w:val="22"/>
                <w:szCs w:val="22"/>
              </w:rPr>
            </w:pPr>
            <w:r w:rsidRPr="001D37BF">
              <w:rPr>
                <w:sz w:val="22"/>
                <w:szCs w:val="22"/>
              </w:rPr>
              <w:t xml:space="preserve">-Respiratory infections: </w:t>
            </w:r>
          </w:p>
          <w:p w:rsidR="001D37BF" w:rsidRDefault="001D37BF" w:rsidP="001D37BF">
            <w:pPr>
              <w:rPr>
                <w:sz w:val="22"/>
                <w:szCs w:val="22"/>
              </w:rPr>
            </w:pPr>
            <w:r w:rsidRPr="001D37BF">
              <w:rPr>
                <w:sz w:val="22"/>
                <w:szCs w:val="22"/>
              </w:rPr>
              <w:t xml:space="preserve">8 mg marbofloxacin/kg body weight (2 ml veterinary medicinal product/25 kg body weight) in a single injection by the intramuscular route. In cases of respiratory infections caused by </w:t>
            </w:r>
            <w:r w:rsidRPr="001D37BF">
              <w:rPr>
                <w:i/>
                <w:sz w:val="22"/>
                <w:szCs w:val="22"/>
              </w:rPr>
              <w:t xml:space="preserve">Mycoplasma </w:t>
            </w:r>
            <w:proofErr w:type="spellStart"/>
            <w:r w:rsidRPr="001D37BF">
              <w:rPr>
                <w:i/>
                <w:sz w:val="22"/>
                <w:szCs w:val="22"/>
              </w:rPr>
              <w:t>bovis</w:t>
            </w:r>
            <w:proofErr w:type="spellEnd"/>
            <w:r w:rsidRPr="001D37BF">
              <w:rPr>
                <w:sz w:val="22"/>
                <w:szCs w:val="22"/>
              </w:rPr>
              <w:t>, the recommended dose is 2 mg marbofloxacin/kg body weight (1 ml veterinary medicinal product/50 kg body weight), in a single daily injection for 3 to 5 consecutive days, by the intramuscular or subcutaneous route. The first injection may be given by the intravenous route.</w:t>
            </w:r>
          </w:p>
          <w:p w:rsidR="001D37BF" w:rsidRPr="001D37BF" w:rsidRDefault="001D37BF" w:rsidP="001D37BF">
            <w:pPr>
              <w:rPr>
                <w:sz w:val="22"/>
                <w:szCs w:val="22"/>
              </w:rPr>
            </w:pPr>
            <w:r>
              <w:rPr>
                <w:sz w:val="22"/>
                <w:szCs w:val="22"/>
              </w:rPr>
              <w:t>-</w:t>
            </w:r>
            <w:r w:rsidRPr="001D37BF">
              <w:rPr>
                <w:sz w:val="22"/>
                <w:szCs w:val="22"/>
              </w:rPr>
              <w:t xml:space="preserve"> Acute mastitis: I</w:t>
            </w:r>
            <w:r>
              <w:rPr>
                <w:sz w:val="22"/>
                <w:szCs w:val="22"/>
              </w:rPr>
              <w:t>.M. or S.C.:</w:t>
            </w:r>
            <w:r w:rsidRPr="001D37BF">
              <w:rPr>
                <w:sz w:val="22"/>
                <w:szCs w:val="22"/>
              </w:rPr>
              <w:t xml:space="preserve"> 2 mg marbofloxacin/kg body weight (1 ml veterinary medicinal product/50 kg body weight) in a single daily injection, for 3 consecutive days. The first injection may also be given by the intravenous route</w:t>
            </w:r>
          </w:p>
          <w:p w:rsidR="001D37BF" w:rsidRDefault="001D37BF" w:rsidP="001D37BF">
            <w:pPr>
              <w:rPr>
                <w:sz w:val="22"/>
                <w:szCs w:val="22"/>
              </w:rPr>
            </w:pPr>
            <w:r w:rsidRPr="001D37BF">
              <w:rPr>
                <w:b/>
                <w:sz w:val="22"/>
                <w:szCs w:val="22"/>
              </w:rPr>
              <w:t>Pigs</w:t>
            </w:r>
            <w:r w:rsidRPr="001D37BF">
              <w:rPr>
                <w:sz w:val="22"/>
                <w:szCs w:val="22"/>
              </w:rPr>
              <w:t>: Intramuscular</w:t>
            </w:r>
          </w:p>
          <w:p w:rsidR="001D37BF" w:rsidRPr="001D37BF" w:rsidRDefault="001D37BF" w:rsidP="001D37BF">
            <w:pPr>
              <w:rPr>
                <w:sz w:val="22"/>
                <w:szCs w:val="22"/>
              </w:rPr>
            </w:pPr>
            <w:r>
              <w:rPr>
                <w:sz w:val="22"/>
                <w:szCs w:val="22"/>
              </w:rPr>
              <w:t>2</w:t>
            </w:r>
            <w:r w:rsidRPr="001D37BF">
              <w:rPr>
                <w:sz w:val="22"/>
                <w:szCs w:val="22"/>
              </w:rPr>
              <w:t>mg marbofloxacin/kg body weight (1 ml veterinary medicinal product/50 kg body weight) in a single daily injection, for 3 consecutive days.</w:t>
            </w:r>
          </w:p>
        </w:tc>
        <w:tc>
          <w:tcPr>
            <w:tcW w:w="1843" w:type="dxa"/>
          </w:tcPr>
          <w:p w:rsidR="001D37BF" w:rsidRPr="001D37BF" w:rsidRDefault="001D37BF" w:rsidP="001D37BF">
            <w:pPr>
              <w:rPr>
                <w:rFonts w:cs="Times-Roman"/>
                <w:sz w:val="22"/>
                <w:szCs w:val="22"/>
              </w:rPr>
            </w:pPr>
            <w:r w:rsidRPr="001D37BF">
              <w:rPr>
                <w:rFonts w:cs="Times-Roman"/>
                <w:sz w:val="22"/>
                <w:szCs w:val="22"/>
                <w:lang w:val="en-TT"/>
              </w:rPr>
              <w:t xml:space="preserve">No signs of </w:t>
            </w:r>
            <w:proofErr w:type="spellStart"/>
            <w:r w:rsidRPr="001D37BF">
              <w:rPr>
                <w:rFonts w:cs="Times-Roman"/>
                <w:sz w:val="22"/>
                <w:szCs w:val="22"/>
                <w:lang w:val="en-TT"/>
              </w:rPr>
              <w:t>overdosage</w:t>
            </w:r>
            <w:proofErr w:type="spellEnd"/>
            <w:r w:rsidRPr="001D37BF">
              <w:rPr>
                <w:rFonts w:cs="Times-Roman"/>
                <w:sz w:val="22"/>
                <w:szCs w:val="22"/>
                <w:lang w:val="en-TT"/>
              </w:rPr>
              <w:t xml:space="preserve"> have been observed after administration of 3 times the recommended dose. Signs such as acute neurological disorders may occur when the dose is exceeded. </w:t>
            </w:r>
            <w:r w:rsidR="009A6B6A" w:rsidRPr="001D37BF">
              <w:rPr>
                <w:rFonts w:cs="Times-Roman"/>
                <w:sz w:val="22"/>
                <w:szCs w:val="22"/>
                <w:lang w:val="en-TT"/>
              </w:rPr>
              <w:t>These signs</w:t>
            </w:r>
            <w:r w:rsidRPr="001D37BF">
              <w:rPr>
                <w:rFonts w:cs="Times-Roman"/>
                <w:sz w:val="22"/>
                <w:szCs w:val="22"/>
                <w:lang w:val="en-TT"/>
              </w:rPr>
              <w:t xml:space="preserve"> should be treated symptomatically</w:t>
            </w:r>
          </w:p>
        </w:tc>
        <w:tc>
          <w:tcPr>
            <w:tcW w:w="2126" w:type="dxa"/>
          </w:tcPr>
          <w:p w:rsidR="001D37BF" w:rsidRPr="001D37BF" w:rsidRDefault="001D37BF" w:rsidP="001D37BF">
            <w:pPr>
              <w:rPr>
                <w:rFonts w:cs="Times New Roman"/>
                <w:sz w:val="22"/>
                <w:szCs w:val="22"/>
              </w:rPr>
            </w:pPr>
            <w:r w:rsidRPr="001D37BF">
              <w:rPr>
                <w:rFonts w:cs="Times New Roman"/>
                <w:sz w:val="22"/>
                <w:szCs w:val="22"/>
              </w:rPr>
              <w:t>Do not use in cases where the pathogen involved is resistant to other fluoroquinolones (cross resistance).</w:t>
            </w:r>
          </w:p>
          <w:p w:rsidR="001D37BF" w:rsidRPr="001D37BF" w:rsidRDefault="001D37BF" w:rsidP="001D37BF">
            <w:pPr>
              <w:rPr>
                <w:rFonts w:cs="Times New Roman"/>
                <w:sz w:val="22"/>
                <w:szCs w:val="22"/>
              </w:rPr>
            </w:pPr>
            <w:r w:rsidRPr="001D37BF">
              <w:rPr>
                <w:sz w:val="22"/>
                <w:szCs w:val="22"/>
              </w:rPr>
              <w:t>Do not use in cases of hypersensitivity to the active substance,</w:t>
            </w:r>
            <w:r w:rsidR="009A6B6A">
              <w:rPr>
                <w:sz w:val="22"/>
                <w:szCs w:val="22"/>
              </w:rPr>
              <w:t xml:space="preserve"> </w:t>
            </w:r>
            <w:r w:rsidRPr="001D37BF">
              <w:rPr>
                <w:sz w:val="22"/>
                <w:szCs w:val="22"/>
              </w:rPr>
              <w:t>to any other quinolone or to any of the excipients.</w:t>
            </w:r>
          </w:p>
        </w:tc>
        <w:tc>
          <w:tcPr>
            <w:tcW w:w="3118" w:type="dxa"/>
          </w:tcPr>
          <w:p w:rsidR="003C7853" w:rsidRDefault="009A6B6A" w:rsidP="001D37BF">
            <w:pPr>
              <w:rPr>
                <w:rFonts w:cs="Times-Roman"/>
                <w:sz w:val="22"/>
                <w:szCs w:val="22"/>
                <w:lang w:val="en-TT"/>
              </w:rPr>
            </w:pPr>
            <w:r w:rsidRPr="009A6B6A">
              <w:rPr>
                <w:rFonts w:cs="Times-Roman"/>
                <w:sz w:val="22"/>
                <w:szCs w:val="22"/>
                <w:lang w:val="en-TT"/>
              </w:rPr>
              <w:t>Marbofloxacin is a synthetic, bactericidal antimicrobial, belonging to the fluoroquinolone group which acts by inhibition of DNA gyrase. It has a broad-spectrum activity in vitro against Gram-negative bacteria (</w:t>
            </w:r>
            <w:r w:rsidRPr="009A6B6A">
              <w:rPr>
                <w:rFonts w:cs="Times-Roman"/>
                <w:i/>
                <w:sz w:val="22"/>
                <w:szCs w:val="22"/>
                <w:lang w:val="en-TT"/>
              </w:rPr>
              <w:t xml:space="preserve">E. coli, </w:t>
            </w:r>
            <w:proofErr w:type="spellStart"/>
            <w:r w:rsidRPr="009A6B6A">
              <w:rPr>
                <w:rFonts w:cs="Times-Roman"/>
                <w:i/>
                <w:sz w:val="22"/>
                <w:szCs w:val="22"/>
                <w:lang w:val="en-TT"/>
              </w:rPr>
              <w:t>Histophilus</w:t>
            </w:r>
            <w:proofErr w:type="spellEnd"/>
            <w:r w:rsidRPr="009A6B6A">
              <w:rPr>
                <w:rFonts w:cs="Times-Roman"/>
                <w:i/>
                <w:sz w:val="22"/>
                <w:szCs w:val="22"/>
                <w:lang w:val="en-TT"/>
              </w:rPr>
              <w:t xml:space="preserve"> </w:t>
            </w:r>
            <w:proofErr w:type="spellStart"/>
            <w:r w:rsidRPr="009A6B6A">
              <w:rPr>
                <w:rFonts w:cs="Times-Roman"/>
                <w:i/>
                <w:sz w:val="22"/>
                <w:szCs w:val="22"/>
                <w:lang w:val="en-TT"/>
              </w:rPr>
              <w:t>somni</w:t>
            </w:r>
            <w:proofErr w:type="spellEnd"/>
            <w:r w:rsidRPr="009A6B6A">
              <w:rPr>
                <w:rFonts w:cs="Times-Roman"/>
                <w:i/>
                <w:sz w:val="22"/>
                <w:szCs w:val="22"/>
                <w:lang w:val="en-TT"/>
              </w:rPr>
              <w:t xml:space="preserve">, </w:t>
            </w:r>
            <w:proofErr w:type="spellStart"/>
            <w:r w:rsidRPr="009A6B6A">
              <w:rPr>
                <w:rFonts w:cs="Times-Roman"/>
                <w:i/>
                <w:sz w:val="22"/>
                <w:szCs w:val="22"/>
                <w:lang w:val="en-TT"/>
              </w:rPr>
              <w:t>Mannheimia</w:t>
            </w:r>
            <w:proofErr w:type="spellEnd"/>
            <w:r w:rsidRPr="009A6B6A">
              <w:rPr>
                <w:rFonts w:cs="Times-Roman"/>
                <w:i/>
                <w:sz w:val="22"/>
                <w:szCs w:val="22"/>
                <w:lang w:val="en-TT"/>
              </w:rPr>
              <w:t xml:space="preserve"> </w:t>
            </w:r>
            <w:proofErr w:type="spellStart"/>
            <w:r w:rsidRPr="009A6B6A">
              <w:rPr>
                <w:rFonts w:cs="Times-Roman"/>
                <w:i/>
                <w:sz w:val="22"/>
                <w:szCs w:val="22"/>
                <w:lang w:val="en-TT"/>
              </w:rPr>
              <w:t>haemolytica</w:t>
            </w:r>
            <w:proofErr w:type="spellEnd"/>
            <w:r w:rsidRPr="009A6B6A">
              <w:rPr>
                <w:rFonts w:cs="Times-Roman"/>
                <w:i/>
                <w:sz w:val="22"/>
                <w:szCs w:val="22"/>
                <w:lang w:val="en-TT"/>
              </w:rPr>
              <w:t xml:space="preserve"> and Pasteurella </w:t>
            </w:r>
            <w:proofErr w:type="spellStart"/>
            <w:r w:rsidRPr="009A6B6A">
              <w:rPr>
                <w:rFonts w:cs="Times-Roman"/>
                <w:i/>
                <w:sz w:val="22"/>
                <w:szCs w:val="22"/>
                <w:lang w:val="en-TT"/>
              </w:rPr>
              <w:t>multocida</w:t>
            </w:r>
            <w:proofErr w:type="spellEnd"/>
            <w:r w:rsidRPr="009A6B6A">
              <w:rPr>
                <w:rFonts w:cs="Times-Roman"/>
                <w:sz w:val="22"/>
                <w:szCs w:val="22"/>
                <w:lang w:val="en-TT"/>
              </w:rPr>
              <w:t xml:space="preserve">) and against </w:t>
            </w:r>
            <w:r w:rsidRPr="009A6B6A">
              <w:rPr>
                <w:rFonts w:cs="Times-Roman"/>
                <w:i/>
                <w:sz w:val="22"/>
                <w:szCs w:val="22"/>
                <w:lang w:val="en-TT"/>
              </w:rPr>
              <w:t xml:space="preserve">Mycoplasma (Mycoplasma </w:t>
            </w:r>
            <w:proofErr w:type="spellStart"/>
            <w:r w:rsidRPr="009A6B6A">
              <w:rPr>
                <w:rFonts w:cs="Times-Roman"/>
                <w:i/>
                <w:sz w:val="22"/>
                <w:szCs w:val="22"/>
                <w:lang w:val="en-TT"/>
              </w:rPr>
              <w:t>bovis</w:t>
            </w:r>
            <w:proofErr w:type="spellEnd"/>
            <w:r w:rsidRPr="009A6B6A">
              <w:rPr>
                <w:rFonts w:cs="Times-Roman"/>
                <w:i/>
                <w:sz w:val="22"/>
                <w:szCs w:val="22"/>
                <w:lang w:val="en-TT"/>
              </w:rPr>
              <w:t xml:space="preserve">). </w:t>
            </w:r>
            <w:r w:rsidRPr="009A6B6A">
              <w:rPr>
                <w:rFonts w:cs="Times-Roman"/>
                <w:sz w:val="22"/>
                <w:szCs w:val="22"/>
                <w:lang w:val="en-TT"/>
              </w:rPr>
              <w:t xml:space="preserve">Resistance to </w:t>
            </w:r>
            <w:r w:rsidRPr="009A6B6A">
              <w:rPr>
                <w:rFonts w:cs="Times-Roman"/>
                <w:i/>
                <w:sz w:val="22"/>
                <w:szCs w:val="22"/>
                <w:lang w:val="en-TT"/>
              </w:rPr>
              <w:t xml:space="preserve">Streptococcus </w:t>
            </w:r>
            <w:r w:rsidRPr="009A6B6A">
              <w:rPr>
                <w:rFonts w:cs="Times-Roman"/>
                <w:sz w:val="22"/>
                <w:szCs w:val="22"/>
                <w:lang w:val="en-TT"/>
              </w:rPr>
              <w:t xml:space="preserve">may occur. </w:t>
            </w:r>
          </w:p>
          <w:p w:rsidR="001D37BF" w:rsidRPr="001D37BF" w:rsidRDefault="009A6B6A" w:rsidP="001D37BF">
            <w:pPr>
              <w:rPr>
                <w:rFonts w:cs="Times-Roman"/>
                <w:sz w:val="22"/>
                <w:szCs w:val="22"/>
              </w:rPr>
            </w:pPr>
            <w:r w:rsidRPr="009A6B6A">
              <w:rPr>
                <w:rFonts w:cs="Times-Roman"/>
                <w:sz w:val="22"/>
                <w:szCs w:val="22"/>
                <w:lang w:val="en-TT"/>
              </w:rPr>
              <w:t>Strains with MIC ≤ 1 µg/ml are susceptible to marbofloxacin whereas strains with MIC ≥ 4 µg/ml are resistant to marbofloxacin. Resistance to fluoroquinolones occurs by chromosomal mutation with three mechanisms: decrease of the bacterial wall permeability, expression of efflux pump or mutation of enzymes responsible for molecule binding.</w:t>
            </w:r>
          </w:p>
        </w:tc>
        <w:tc>
          <w:tcPr>
            <w:tcW w:w="3044" w:type="dxa"/>
          </w:tcPr>
          <w:p w:rsidR="001D37BF" w:rsidRPr="001D37BF" w:rsidRDefault="001D37BF" w:rsidP="001D37BF">
            <w:pPr>
              <w:autoSpaceDE w:val="0"/>
              <w:autoSpaceDN w:val="0"/>
              <w:adjustRightInd w:val="0"/>
              <w:rPr>
                <w:rFonts w:cs="Times-Roman"/>
                <w:sz w:val="22"/>
                <w:szCs w:val="22"/>
              </w:rPr>
            </w:pPr>
            <w:r w:rsidRPr="001D37BF">
              <w:rPr>
                <w:sz w:val="22"/>
                <w:szCs w:val="22"/>
              </w:rPr>
              <w:t>Transitory inflammatory lesions can occur very rarely at the injection site, without clinical impact, when administered via the intramuscular or subcutaneous route. Administration by the intramuscular route may cause very rarely transient local reactions such as pain and swelling at the injection site and inflammatory lesions which may persist for at least 12 days after injection. However, in cattle, the subcutaneous route was shown to be better tolerated locally than the intramuscular route. Therefore, the subcutaneous route is recommended in heavy cattle. The frequency of adverse reactions is defined using the following convention: - very common (more than 1 in 10 animals treated displaying adverse reaction(s)) - common (more than 1 but less than 10 animals in 100 animals treated) - uncommon (more than 1 but less than 10 animals in 1,000 animals treated) - rare (more than 1 but less than 10 animals in 10,000 animals treated) - very rare (less than 1 animal in 10,000 animals treated, including isolated reports).</w:t>
            </w:r>
          </w:p>
        </w:tc>
      </w:tr>
    </w:tbl>
    <w:p w:rsidR="000B719E" w:rsidRDefault="001D37BF" w:rsidP="001D37BF">
      <w:pPr>
        <w:rPr>
          <w:rFonts w:ascii="Cambria" w:hAnsi="Cambria"/>
        </w:rPr>
      </w:pPr>
      <w:r w:rsidRPr="001D37BF">
        <w:rPr>
          <w:rFonts w:ascii="Cambria" w:hAnsi="Cambria"/>
        </w:rPr>
        <w:t>*</w:t>
      </w:r>
      <w:r>
        <w:rPr>
          <w:rFonts w:ascii="Cambria" w:hAnsi="Cambria"/>
        </w:rPr>
        <w:t xml:space="preserve"> </w:t>
      </w:r>
      <w:r w:rsidRPr="001D37BF">
        <w:rPr>
          <w:rFonts w:ascii="Cambria" w:hAnsi="Cambria"/>
        </w:rPr>
        <w:t>Safety of the veterinary medicinal product at 2 mg/kg body weight has been established in pregnant cows or in sucking calves and piglets when used in cows and sows. Can be used during pregnancy and lactation.</w:t>
      </w:r>
    </w:p>
    <w:p w:rsidR="003C7853" w:rsidRDefault="003C7853" w:rsidP="001D37BF">
      <w:pPr>
        <w:rPr>
          <w:rFonts w:ascii="Cambria" w:hAnsi="Cambria"/>
        </w:rPr>
      </w:pPr>
    </w:p>
    <w:p w:rsidR="003C7853" w:rsidRDefault="003C7853" w:rsidP="00B20E5F">
      <w:pPr>
        <w:jc w:val="center"/>
        <w:rPr>
          <w:rFonts w:ascii="Cambria" w:hAnsi="Cambria"/>
        </w:rPr>
      </w:pPr>
      <w:r>
        <w:rPr>
          <w:noProof/>
        </w:rPr>
        <w:lastRenderedPageBreak/>
        <w:drawing>
          <wp:inline distT="0" distB="0" distL="0" distR="0" wp14:anchorId="2543905C" wp14:editId="6143D3DF">
            <wp:extent cx="5545655" cy="14606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846" t="58758" r="26728" b="18555"/>
                    <a:stretch/>
                  </pic:blipFill>
                  <pic:spPr bwMode="auto">
                    <a:xfrm>
                      <a:off x="0" y="0"/>
                      <a:ext cx="5655034" cy="148947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B5B23" w:rsidRPr="00B20E5F" w:rsidRDefault="002B5B23" w:rsidP="001D37BF">
      <w:pPr>
        <w:rPr>
          <w:rFonts w:ascii="Cambria" w:hAnsi="Cambria"/>
          <w:sz w:val="24"/>
          <w:szCs w:val="24"/>
        </w:rPr>
      </w:pPr>
      <w:r w:rsidRPr="00B20E5F">
        <w:rPr>
          <w:rFonts w:ascii="Cambria" w:hAnsi="Cambria"/>
          <w:sz w:val="24"/>
          <w:szCs w:val="24"/>
        </w:rPr>
        <w:t>Pigs: Meat and offal: 4 days</w:t>
      </w:r>
    </w:p>
    <w:p w:rsidR="009A6B6A" w:rsidRPr="001D37BF" w:rsidRDefault="009A6B6A" w:rsidP="001D37BF">
      <w:pPr>
        <w:rPr>
          <w:rFonts w:ascii="Cambria" w:hAnsi="Cambria"/>
        </w:rPr>
      </w:pPr>
    </w:p>
    <w:sectPr w:rsidR="009A6B6A" w:rsidRPr="001D37BF" w:rsidSect="001D37BF">
      <w:pgSz w:w="20160" w:h="12240" w:orient="landscape" w:code="5"/>
      <w:pgMar w:top="567"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649"/>
    <w:multiLevelType w:val="hybridMultilevel"/>
    <w:tmpl w:val="D50CD326"/>
    <w:lvl w:ilvl="0" w:tplc="952EAC98">
      <w:numFmt w:val="bullet"/>
      <w:lvlText w:val=""/>
      <w:lvlJc w:val="left"/>
      <w:pPr>
        <w:ind w:left="720" w:hanging="360"/>
      </w:pPr>
      <w:rPr>
        <w:rFonts w:ascii="Symbol" w:eastAsiaTheme="minorHAnsi" w:hAnsi="Symbol"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BF"/>
    <w:rsid w:val="000B719E"/>
    <w:rsid w:val="001D37BF"/>
    <w:rsid w:val="002B5B23"/>
    <w:rsid w:val="003C7853"/>
    <w:rsid w:val="009A6B6A"/>
    <w:rsid w:val="00B20E5F"/>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931AC-47EC-42A4-8EA3-F1102A66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7BF"/>
    <w:pPr>
      <w:spacing w:before="0" w:line="240" w:lineRule="auto"/>
      <w:jc w:val="left"/>
    </w:pPr>
    <w:rPr>
      <w:rFonts w:ascii="Cambria"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2018-09-07T22:46:00Z</dcterms:created>
  <dcterms:modified xsi:type="dcterms:W3CDTF">2018-09-08T06:22:00Z</dcterms:modified>
</cp:coreProperties>
</file>