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47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57"/>
        <w:gridCol w:w="1244"/>
        <w:gridCol w:w="2216"/>
        <w:gridCol w:w="1824"/>
        <w:gridCol w:w="1871"/>
        <w:gridCol w:w="3270"/>
        <w:gridCol w:w="2274"/>
        <w:gridCol w:w="4022"/>
      </w:tblGrid>
      <w:tr w:rsidR="001E569D" w:rsidRPr="004E7B26" w:rsidTr="007154D4">
        <w:trPr>
          <w:trHeight w:val="666"/>
        </w:trPr>
        <w:tc>
          <w:tcPr>
            <w:tcW w:w="2757" w:type="dxa"/>
          </w:tcPr>
          <w:p w:rsidR="001E569D" w:rsidRPr="004E7B26" w:rsidRDefault="001E569D" w:rsidP="00DA75AC">
            <w:pPr>
              <w:rPr>
                <w:rFonts w:asciiTheme="majorHAnsi" w:hAnsiTheme="majorHAnsi"/>
                <w:b/>
              </w:rPr>
            </w:pPr>
            <w:r w:rsidRPr="004E7B26">
              <w:rPr>
                <w:rFonts w:asciiTheme="majorHAnsi" w:hAnsiTheme="majorHAnsi"/>
                <w:b/>
              </w:rPr>
              <w:t>Drug</w:t>
            </w:r>
          </w:p>
        </w:tc>
        <w:tc>
          <w:tcPr>
            <w:tcW w:w="1244" w:type="dxa"/>
          </w:tcPr>
          <w:p w:rsidR="001E569D" w:rsidRPr="004E7B26" w:rsidRDefault="001E569D" w:rsidP="00DA75AC">
            <w:pPr>
              <w:rPr>
                <w:rFonts w:asciiTheme="majorHAnsi" w:hAnsiTheme="majorHAnsi"/>
                <w:b/>
              </w:rPr>
            </w:pPr>
            <w:r w:rsidRPr="004E7B26">
              <w:rPr>
                <w:rFonts w:asciiTheme="majorHAnsi" w:hAnsiTheme="majorHAnsi"/>
                <w:b/>
              </w:rPr>
              <w:t>Species</w:t>
            </w:r>
          </w:p>
        </w:tc>
        <w:tc>
          <w:tcPr>
            <w:tcW w:w="2216" w:type="dxa"/>
          </w:tcPr>
          <w:p w:rsidR="001E569D" w:rsidRPr="004E7B26" w:rsidRDefault="001E569D" w:rsidP="00DA75AC">
            <w:pPr>
              <w:rPr>
                <w:rFonts w:asciiTheme="majorHAnsi" w:hAnsiTheme="majorHAnsi"/>
                <w:b/>
              </w:rPr>
            </w:pPr>
            <w:r w:rsidRPr="004E7B26">
              <w:rPr>
                <w:rFonts w:asciiTheme="majorHAnsi" w:hAnsiTheme="majorHAnsi"/>
                <w:b/>
              </w:rPr>
              <w:t>Indications</w:t>
            </w:r>
          </w:p>
        </w:tc>
        <w:tc>
          <w:tcPr>
            <w:tcW w:w="1824" w:type="dxa"/>
          </w:tcPr>
          <w:p w:rsidR="001E569D" w:rsidRPr="004E7B26" w:rsidRDefault="001E569D" w:rsidP="00DA75AC">
            <w:pPr>
              <w:rPr>
                <w:rFonts w:asciiTheme="majorHAnsi" w:hAnsiTheme="majorHAnsi"/>
                <w:b/>
              </w:rPr>
            </w:pPr>
            <w:r w:rsidRPr="004E7B26">
              <w:rPr>
                <w:rFonts w:asciiTheme="majorHAnsi" w:hAnsiTheme="majorHAnsi"/>
                <w:b/>
              </w:rPr>
              <w:t>Therapeutic Dose</w:t>
            </w:r>
          </w:p>
        </w:tc>
        <w:tc>
          <w:tcPr>
            <w:tcW w:w="1871" w:type="dxa"/>
          </w:tcPr>
          <w:p w:rsidR="001E569D" w:rsidRPr="004E7B26" w:rsidRDefault="001E569D" w:rsidP="00DA75AC">
            <w:pPr>
              <w:rPr>
                <w:rFonts w:asciiTheme="majorHAnsi" w:hAnsiTheme="majorHAnsi"/>
                <w:b/>
              </w:rPr>
            </w:pPr>
            <w:r w:rsidRPr="004E7B26">
              <w:rPr>
                <w:rFonts w:asciiTheme="majorHAnsi" w:hAnsiTheme="majorHAnsi"/>
                <w:b/>
              </w:rPr>
              <w:t>Lethal Dose/ Toxicity</w:t>
            </w:r>
          </w:p>
        </w:tc>
        <w:tc>
          <w:tcPr>
            <w:tcW w:w="3270" w:type="dxa"/>
          </w:tcPr>
          <w:p w:rsidR="001E569D" w:rsidRPr="004E7B26" w:rsidRDefault="001E569D" w:rsidP="00DA75AC">
            <w:pPr>
              <w:rPr>
                <w:rFonts w:asciiTheme="majorHAnsi" w:hAnsiTheme="majorHAnsi"/>
                <w:b/>
              </w:rPr>
            </w:pPr>
            <w:r w:rsidRPr="004E7B26">
              <w:rPr>
                <w:rFonts w:asciiTheme="majorHAnsi" w:hAnsiTheme="majorHAnsi"/>
                <w:b/>
              </w:rPr>
              <w:t>Contraindications</w:t>
            </w:r>
          </w:p>
        </w:tc>
        <w:tc>
          <w:tcPr>
            <w:tcW w:w="2274" w:type="dxa"/>
          </w:tcPr>
          <w:p w:rsidR="001E569D" w:rsidRPr="004E7B26" w:rsidRDefault="001E569D" w:rsidP="00DA75AC">
            <w:pPr>
              <w:rPr>
                <w:rFonts w:asciiTheme="majorHAnsi" w:hAnsiTheme="majorHAnsi"/>
                <w:b/>
              </w:rPr>
            </w:pPr>
            <w:r w:rsidRPr="004E7B26">
              <w:rPr>
                <w:rFonts w:asciiTheme="majorHAnsi" w:hAnsiTheme="majorHAnsi"/>
                <w:b/>
              </w:rPr>
              <w:t>Pharmacology</w:t>
            </w:r>
          </w:p>
        </w:tc>
        <w:tc>
          <w:tcPr>
            <w:tcW w:w="4022" w:type="dxa"/>
          </w:tcPr>
          <w:p w:rsidR="001E569D" w:rsidRPr="004E7B26" w:rsidRDefault="001E569D" w:rsidP="00DA75AC">
            <w:pPr>
              <w:rPr>
                <w:rFonts w:asciiTheme="majorHAnsi" w:hAnsiTheme="majorHAnsi"/>
                <w:b/>
              </w:rPr>
            </w:pPr>
            <w:r w:rsidRPr="004E7B26">
              <w:rPr>
                <w:rFonts w:asciiTheme="majorHAnsi" w:hAnsiTheme="majorHAnsi"/>
                <w:b/>
              </w:rPr>
              <w:t>Adverse Effects</w:t>
            </w:r>
          </w:p>
        </w:tc>
      </w:tr>
      <w:tr w:rsidR="001A7133" w:rsidRPr="004E7B26" w:rsidTr="007154D4">
        <w:trPr>
          <w:trHeight w:val="7261"/>
        </w:trPr>
        <w:tc>
          <w:tcPr>
            <w:tcW w:w="2757" w:type="dxa"/>
          </w:tcPr>
          <w:p w:rsidR="001A7133" w:rsidRDefault="001A7133" w:rsidP="001A7133">
            <w:pPr>
              <w:ind w:lef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Gentamycin 100</w:t>
            </w:r>
          </w:p>
          <w:p w:rsidR="001A7133" w:rsidRPr="004E7B26" w:rsidRDefault="001A7133" w:rsidP="001A7133">
            <w:pPr>
              <w:ind w:left="-108"/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533D7E31" wp14:editId="791F0799">
                  <wp:extent cx="1674421" cy="3404660"/>
                  <wp:effectExtent l="0" t="0" r="254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10" t="51525" r="1028" b="8170"/>
                          <a:stretch/>
                        </pic:blipFill>
                        <pic:spPr bwMode="auto">
                          <a:xfrm>
                            <a:off x="0" y="0"/>
                            <a:ext cx="1699235" cy="345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</w:tcPr>
          <w:p w:rsidR="001A7133" w:rsidRPr="004E7B26" w:rsidRDefault="001A7133" w:rsidP="001A71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Horse, Sheep, Swine</w:t>
            </w:r>
          </w:p>
        </w:tc>
        <w:tc>
          <w:tcPr>
            <w:tcW w:w="2216" w:type="dxa"/>
          </w:tcPr>
          <w:p w:rsidR="001A7133" w:rsidRPr="00BB067B" w:rsidRDefault="001A7133" w:rsidP="001A713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</w:rPr>
            </w:pPr>
            <w:r w:rsidRPr="00BB067B">
              <w:rPr>
                <w:rFonts w:asciiTheme="majorHAnsi" w:hAnsiTheme="majorHAnsi" w:cs="Times-Roman"/>
              </w:rPr>
              <w:t>Although routinely used parenterally in horses, gentamicin is only approved for</w:t>
            </w:r>
          </w:p>
          <w:p w:rsidR="001A7133" w:rsidRPr="00BB067B" w:rsidRDefault="001A7133" w:rsidP="001A713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</w:rPr>
            </w:pPr>
            <w:r w:rsidRPr="00BB067B">
              <w:rPr>
                <w:rFonts w:asciiTheme="majorHAnsi" w:hAnsiTheme="majorHAnsi" w:cs="Times-Roman"/>
              </w:rPr>
              <w:t>intrauterine infusion in that species. Oral products are approved for gastrointestinal infections in</w:t>
            </w:r>
          </w:p>
          <w:p w:rsidR="001A7133" w:rsidRDefault="001A7133" w:rsidP="001A713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</w:rPr>
            </w:pPr>
            <w:r w:rsidRPr="00BB067B">
              <w:rPr>
                <w:rFonts w:asciiTheme="majorHAnsi" w:hAnsiTheme="majorHAnsi" w:cs="Times-Roman"/>
              </w:rPr>
              <w:t>swine</w:t>
            </w:r>
            <w:r>
              <w:rPr>
                <w:rFonts w:asciiTheme="majorHAnsi" w:hAnsiTheme="majorHAnsi" w:cs="Times-Roman"/>
              </w:rPr>
              <w:t>.</w:t>
            </w:r>
          </w:p>
          <w:p w:rsidR="001A7133" w:rsidRPr="004E7B26" w:rsidRDefault="001A7133" w:rsidP="001A713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DF17EC">
              <w:rPr>
                <w:rFonts w:cs="Times New Roman"/>
                <w:sz w:val="22"/>
                <w:szCs w:val="22"/>
              </w:rPr>
              <w:t>Used against wide variety of bacteria, especially Gram-negative aerobic bacilli a</w:t>
            </w:r>
            <w:r>
              <w:rPr>
                <w:rFonts w:cs="Times New Roman"/>
                <w:sz w:val="22"/>
                <w:szCs w:val="22"/>
              </w:rPr>
              <w:t>nd Staph. strains in horses, she</w:t>
            </w:r>
            <w:r w:rsidRPr="00DF17EC">
              <w:rPr>
                <w:rFonts w:cs="Times New Roman"/>
                <w:sz w:val="22"/>
                <w:szCs w:val="22"/>
              </w:rPr>
              <w:t>ep and pigs. Usually the only effective agent against severe Gram-negative infections.</w:t>
            </w:r>
          </w:p>
        </w:tc>
        <w:tc>
          <w:tcPr>
            <w:tcW w:w="1824" w:type="dxa"/>
          </w:tcPr>
          <w:p w:rsidR="001A7133" w:rsidRPr="00DF17EC" w:rsidRDefault="001A7133" w:rsidP="001A7133">
            <w:pPr>
              <w:rPr>
                <w:rFonts w:cs="Times New Roman"/>
                <w:sz w:val="22"/>
                <w:szCs w:val="22"/>
              </w:rPr>
            </w:pPr>
            <w:r w:rsidRPr="00DF17EC">
              <w:rPr>
                <w:rFonts w:cs="Times New Roman"/>
                <w:sz w:val="22"/>
                <w:szCs w:val="22"/>
                <w:u w:val="single"/>
              </w:rPr>
              <w:t>Horses</w:t>
            </w:r>
            <w:r w:rsidRPr="00DF17EC">
              <w:rPr>
                <w:rFonts w:cs="Times New Roman"/>
                <w:sz w:val="22"/>
                <w:szCs w:val="22"/>
              </w:rPr>
              <w:t xml:space="preserve">: 6.6mg/kg, IV/IM (q24). </w:t>
            </w:r>
            <w:r w:rsidRPr="00DF17EC">
              <w:rPr>
                <w:rFonts w:cs="Times New Roman"/>
                <w:sz w:val="22"/>
                <w:szCs w:val="22"/>
                <w:u w:val="single"/>
              </w:rPr>
              <w:t>Foals</w:t>
            </w:r>
            <w:r w:rsidRPr="00DF17EC">
              <w:rPr>
                <w:rFonts w:cs="Times New Roman"/>
                <w:sz w:val="22"/>
                <w:szCs w:val="22"/>
              </w:rPr>
              <w:t>: 11-15 mg/kg q24</w:t>
            </w:r>
          </w:p>
          <w:p w:rsidR="001A7133" w:rsidRPr="00DF17EC" w:rsidRDefault="001A7133" w:rsidP="001A7133">
            <w:pPr>
              <w:rPr>
                <w:rFonts w:cs="Times New Roman"/>
                <w:sz w:val="22"/>
                <w:szCs w:val="22"/>
              </w:rPr>
            </w:pPr>
          </w:p>
          <w:p w:rsidR="001A7133" w:rsidRPr="00DF17EC" w:rsidRDefault="001A7133" w:rsidP="001A7133">
            <w:pPr>
              <w:rPr>
                <w:rFonts w:cs="Times New Roman"/>
                <w:sz w:val="22"/>
                <w:szCs w:val="22"/>
              </w:rPr>
            </w:pPr>
            <w:r w:rsidRPr="00DF17EC">
              <w:rPr>
                <w:rFonts w:cs="Times New Roman"/>
                <w:sz w:val="22"/>
                <w:szCs w:val="22"/>
                <w:u w:val="single"/>
              </w:rPr>
              <w:t>Pigs</w:t>
            </w:r>
            <w:r w:rsidRPr="00DF17EC">
              <w:rPr>
                <w:rFonts w:cs="Times New Roman"/>
                <w:sz w:val="22"/>
                <w:szCs w:val="22"/>
              </w:rPr>
              <w:t xml:space="preserve">: 5mg/kg, PO/IM in neonates; 1.1mg/kg in weanlings PO. 2.2mg/kg to treat swine dysentery </w:t>
            </w:r>
          </w:p>
          <w:p w:rsidR="001A7133" w:rsidRPr="00DF17EC" w:rsidRDefault="001A7133" w:rsidP="001A7133">
            <w:pPr>
              <w:rPr>
                <w:rFonts w:cs="Times New Roman"/>
                <w:sz w:val="22"/>
                <w:szCs w:val="22"/>
              </w:rPr>
            </w:pPr>
          </w:p>
          <w:p w:rsidR="001A7133" w:rsidRPr="00DF17EC" w:rsidRDefault="001A7133" w:rsidP="001A7133">
            <w:pPr>
              <w:rPr>
                <w:rFonts w:cs="Times New Roman"/>
                <w:sz w:val="22"/>
                <w:szCs w:val="22"/>
              </w:rPr>
            </w:pPr>
            <w:r w:rsidRPr="00DF17EC">
              <w:rPr>
                <w:rFonts w:cs="Times New Roman"/>
                <w:sz w:val="22"/>
                <w:szCs w:val="22"/>
                <w:u w:val="single"/>
              </w:rPr>
              <w:t xml:space="preserve">Sheep: </w:t>
            </w:r>
            <w:r w:rsidRPr="00DF17EC">
              <w:rPr>
                <w:rFonts w:cs="Times New Roman"/>
                <w:sz w:val="22"/>
                <w:szCs w:val="22"/>
              </w:rPr>
              <w:t xml:space="preserve"> 5mg/kg IM</w:t>
            </w:r>
          </w:p>
        </w:tc>
        <w:tc>
          <w:tcPr>
            <w:tcW w:w="1871" w:type="dxa"/>
          </w:tcPr>
          <w:p w:rsidR="001A7133" w:rsidRPr="001A7133" w:rsidRDefault="001A7133" w:rsidP="001A713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</w:rPr>
            </w:pPr>
            <w:r w:rsidRPr="001A7133">
              <w:rPr>
                <w:rFonts w:asciiTheme="majorHAnsi" w:hAnsiTheme="majorHAnsi" w:cs="Times-Roman"/>
              </w:rPr>
              <w:t>Should an inadvertent overdosage be administered, three</w:t>
            </w:r>
          </w:p>
          <w:p w:rsidR="001A7133" w:rsidRPr="004E7B26" w:rsidRDefault="001A7133" w:rsidP="001A713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lang w:val="en-US"/>
              </w:rPr>
            </w:pPr>
            <w:r w:rsidRPr="001A7133">
              <w:rPr>
                <w:rFonts w:asciiTheme="majorHAnsi" w:hAnsiTheme="majorHAnsi" w:cs="Times-Roman"/>
              </w:rPr>
              <w:t>treatments have been recommended. Hemodialysis is very effective in reducing serum levels of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>the drug, but is not a viable option for most veterinary patients. Peritoneal dialysis also will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>reduce serum levels, but is much less efficacious.</w:t>
            </w:r>
          </w:p>
        </w:tc>
        <w:tc>
          <w:tcPr>
            <w:tcW w:w="3270" w:type="dxa"/>
          </w:tcPr>
          <w:p w:rsidR="001A7133" w:rsidRPr="001A7133" w:rsidRDefault="001A7133" w:rsidP="001A7133">
            <w:pPr>
              <w:rPr>
                <w:rFonts w:cs="Times New Roman"/>
              </w:rPr>
            </w:pPr>
            <w:r w:rsidRPr="001A7133">
              <w:rPr>
                <w:rFonts w:cs="Times New Roman"/>
              </w:rPr>
              <w:t>Aminoglycosides are contraindicated in</w:t>
            </w:r>
            <w:r>
              <w:rPr>
                <w:rFonts w:cs="Times New Roman"/>
              </w:rPr>
              <w:t xml:space="preserve"> </w:t>
            </w:r>
            <w:r w:rsidRPr="001A7133">
              <w:rPr>
                <w:rFonts w:cs="Times New Roman"/>
              </w:rPr>
              <w:t>patients who are hypersensitive to them. Because these drugs are often the only effective agents</w:t>
            </w:r>
            <w:r>
              <w:rPr>
                <w:rFonts w:cs="Times New Roman"/>
              </w:rPr>
              <w:t xml:space="preserve"> </w:t>
            </w:r>
            <w:r w:rsidRPr="001A7133">
              <w:rPr>
                <w:rFonts w:cs="Times New Roman"/>
              </w:rPr>
              <w:t>in severe gram-negative infections there are no other absolute contraindications to their use.</w:t>
            </w:r>
          </w:p>
          <w:p w:rsidR="001A7133" w:rsidRPr="001A7133" w:rsidRDefault="001A7133" w:rsidP="001A7133">
            <w:pPr>
              <w:rPr>
                <w:rFonts w:cs="Times New Roman"/>
              </w:rPr>
            </w:pPr>
            <w:r w:rsidRPr="001A7133">
              <w:rPr>
                <w:rFonts w:cs="Times New Roman"/>
              </w:rPr>
              <w:t>However, they should be used with extreme caution in patients with preexisting renal disease</w:t>
            </w:r>
            <w:r>
              <w:rPr>
                <w:rFonts w:cs="Times New Roman"/>
              </w:rPr>
              <w:t xml:space="preserve"> </w:t>
            </w:r>
            <w:r w:rsidRPr="001A7133">
              <w:rPr>
                <w:rFonts w:cs="Times New Roman"/>
              </w:rPr>
              <w:t>with concomitant monitoring and dosage interval adjustments made. Other risk factors for the</w:t>
            </w:r>
            <w:r>
              <w:rPr>
                <w:rFonts w:cs="Times New Roman"/>
              </w:rPr>
              <w:t xml:space="preserve"> </w:t>
            </w:r>
            <w:r w:rsidRPr="001A7133">
              <w:rPr>
                <w:rFonts w:cs="Times New Roman"/>
              </w:rPr>
              <w:t>development of toxicity include age (both neonatal and geriatric patients), fever, sepsis and</w:t>
            </w:r>
            <w:r>
              <w:rPr>
                <w:rFonts w:cs="Times New Roman"/>
              </w:rPr>
              <w:t xml:space="preserve"> </w:t>
            </w:r>
            <w:r w:rsidRPr="001A7133">
              <w:rPr>
                <w:rFonts w:cs="Times New Roman"/>
              </w:rPr>
              <w:t>dehydration.</w:t>
            </w:r>
          </w:p>
          <w:p w:rsidR="001A7133" w:rsidRPr="001A7133" w:rsidRDefault="001A7133" w:rsidP="001A7133">
            <w:pPr>
              <w:rPr>
                <w:rFonts w:cs="Times New Roman"/>
              </w:rPr>
            </w:pPr>
            <w:r w:rsidRPr="001A7133">
              <w:rPr>
                <w:rFonts w:cs="Times New Roman"/>
              </w:rPr>
              <w:t>Aminoglycosides should be used with caution in patients with neuromuscular disorders (</w:t>
            </w:r>
            <w:r w:rsidRPr="001A7133">
              <w:rPr>
                <w:rFonts w:cs="Times New Roman"/>
                <w:i/>
                <w:iCs/>
              </w:rPr>
              <w:t>e.g.</w:t>
            </w:r>
            <w:r w:rsidRPr="001A7133">
              <w:rPr>
                <w:rFonts w:cs="Times New Roman"/>
              </w:rPr>
              <w:t>,</w:t>
            </w:r>
          </w:p>
          <w:p w:rsidR="001A7133" w:rsidRPr="001A7133" w:rsidRDefault="001A7133" w:rsidP="001A7133">
            <w:pPr>
              <w:rPr>
                <w:rFonts w:cs="Times New Roman"/>
              </w:rPr>
            </w:pPr>
            <w:r w:rsidRPr="001A7133">
              <w:rPr>
                <w:rFonts w:cs="Times New Roman"/>
              </w:rPr>
              <w:t>myasthenia gravis) due to their neuromuscular blocking activity.</w:t>
            </w:r>
          </w:p>
          <w:p w:rsidR="001A7133" w:rsidRPr="004E7B26" w:rsidRDefault="001A7133" w:rsidP="007154D4">
            <w:pPr>
              <w:rPr>
                <w:rFonts w:cs="Times New Roman"/>
              </w:rPr>
            </w:pPr>
            <w:r w:rsidRPr="001A7133">
              <w:rPr>
                <w:rFonts w:cs="Times New Roman"/>
              </w:rPr>
              <w:t>Because aminoglycosides are eliminated primarily through renal mechanisms, they should be</w:t>
            </w:r>
            <w:r w:rsidR="007154D4">
              <w:rPr>
                <w:rFonts w:cs="Times New Roman"/>
              </w:rPr>
              <w:t xml:space="preserve"> </w:t>
            </w:r>
            <w:r w:rsidRPr="001A7133">
              <w:rPr>
                <w:rFonts w:cs="Times New Roman"/>
              </w:rPr>
              <w:t>used cautiously, preferably with serum monitoring and dosage adjustment in neonatal or geriatric</w:t>
            </w:r>
            <w:r>
              <w:rPr>
                <w:rFonts w:cs="Times New Roman"/>
              </w:rPr>
              <w:t xml:space="preserve"> </w:t>
            </w:r>
            <w:r w:rsidRPr="001A7133">
              <w:rPr>
                <w:rFonts w:cs="Times New Roman"/>
              </w:rPr>
              <w:t>animals.</w:t>
            </w:r>
          </w:p>
        </w:tc>
        <w:tc>
          <w:tcPr>
            <w:tcW w:w="2274" w:type="dxa"/>
          </w:tcPr>
          <w:p w:rsidR="001A7133" w:rsidRPr="009A1DE7" w:rsidRDefault="001A7133" w:rsidP="001A7133">
            <w:pPr>
              <w:rPr>
                <w:rFonts w:asciiTheme="majorHAnsi" w:hAnsiTheme="majorHAnsi" w:cs="Times-Roman"/>
              </w:rPr>
            </w:pPr>
            <w:r w:rsidRPr="009A1DE7">
              <w:rPr>
                <w:rFonts w:asciiTheme="majorHAnsi" w:hAnsiTheme="majorHAnsi" w:cs="Times-Roman"/>
              </w:rPr>
              <w:t>Gentamicin has a mechanism of action and spectrum of activity (primarily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9A1DE7">
              <w:rPr>
                <w:rFonts w:asciiTheme="majorHAnsi" w:hAnsiTheme="majorHAnsi" w:cs="Times-Roman"/>
              </w:rPr>
              <w:t>gram negative aerobes) similar to the other aminoglycosides. Gentamicin resistance by certain bacteria, principally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9A1DE7">
              <w:rPr>
                <w:rFonts w:asciiTheme="majorHAnsi" w:hAnsiTheme="majorHAnsi" w:cs="Times-Roman"/>
                <w:i/>
                <w:iCs/>
              </w:rPr>
              <w:t>Klebsiella</w:t>
            </w:r>
            <w:r w:rsidRPr="009A1DE7">
              <w:rPr>
                <w:rFonts w:asciiTheme="majorHAnsi" w:hAnsiTheme="majorHAnsi" w:cs="Times-Roman"/>
              </w:rPr>
              <w:t xml:space="preserve">, </w:t>
            </w:r>
            <w:r w:rsidRPr="009A1DE7">
              <w:rPr>
                <w:rFonts w:asciiTheme="majorHAnsi" w:hAnsiTheme="majorHAnsi" w:cs="Times-Roman"/>
                <w:i/>
                <w:iCs/>
              </w:rPr>
              <w:t xml:space="preserve">E. coli </w:t>
            </w:r>
            <w:r w:rsidRPr="009A1DE7">
              <w:rPr>
                <w:rFonts w:asciiTheme="majorHAnsi" w:hAnsiTheme="majorHAnsi" w:cs="Times-Roman"/>
              </w:rPr>
              <w:t xml:space="preserve">and </w:t>
            </w:r>
            <w:r w:rsidRPr="009A1DE7">
              <w:rPr>
                <w:rFonts w:asciiTheme="majorHAnsi" w:hAnsiTheme="majorHAnsi" w:cs="Times-Roman"/>
                <w:i/>
                <w:iCs/>
              </w:rPr>
              <w:t xml:space="preserve">Pseudomonas aeruginosa </w:t>
            </w:r>
            <w:r w:rsidRPr="009A1DE7">
              <w:rPr>
                <w:rFonts w:asciiTheme="majorHAnsi" w:hAnsiTheme="majorHAnsi" w:cs="Times-Roman"/>
              </w:rPr>
              <w:t>is a continuing concern for many areas.</w:t>
            </w:r>
          </w:p>
          <w:p w:rsidR="001A7133" w:rsidRPr="004E7B26" w:rsidRDefault="001A7133" w:rsidP="001A7133">
            <w:pPr>
              <w:rPr>
                <w:rFonts w:asciiTheme="majorHAnsi" w:hAnsiTheme="majorHAnsi" w:cs="Times-Roman"/>
                <w:lang w:val="en-US"/>
              </w:rPr>
            </w:pPr>
            <w:r w:rsidRPr="009A1DE7">
              <w:rPr>
                <w:rFonts w:asciiTheme="majorHAnsi" w:hAnsiTheme="majorHAnsi" w:cs="Times-Roman"/>
              </w:rPr>
              <w:t>However, most strains of gentamicin-resistant bacteria of these species remain susceptible to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9A1DE7">
              <w:rPr>
                <w:rFonts w:asciiTheme="majorHAnsi" w:hAnsiTheme="majorHAnsi" w:cs="Times-Roman"/>
              </w:rPr>
              <w:t>amikacin.</w:t>
            </w:r>
          </w:p>
        </w:tc>
        <w:tc>
          <w:tcPr>
            <w:tcW w:w="4022" w:type="dxa"/>
          </w:tcPr>
          <w:p w:rsidR="001A7133" w:rsidRPr="001A7133" w:rsidRDefault="001A7133" w:rsidP="001A713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</w:rPr>
            </w:pPr>
            <w:r w:rsidRPr="001A7133">
              <w:rPr>
                <w:rFonts w:asciiTheme="majorHAnsi" w:hAnsiTheme="majorHAnsi" w:cs="Times-Roman"/>
              </w:rPr>
              <w:t>The aminoglycosides are infamous for their nephrotoxic and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>ototoxic effects. The nephrotoxic (tubular necrosis) mechanisms of these drugs are not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>completely understood, but are probably related to interference with phospholipid metabolism in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>the lysosomes of proximal renal tubular cells, resulting in leakage of proteolytic enzymes into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>the cytoplasm. Nephrotoxicity is usually manifested by increases in BUN, creatinine, nonprotein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>nitrogen in the serum and decreases in urine specific gravity and creatinine clearance. Proteinuria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>and cells or casts may also be seen in the urine. Nephrotoxicity is usually reversible once the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>drug is discontinued. While gentamicin may be more nephrotoxic than the other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>aminoglycosides, the incidences of nephrotoxicity with all of these agents require equal caution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>and monitoring.</w:t>
            </w:r>
          </w:p>
          <w:p w:rsidR="001A7133" w:rsidRPr="001A7133" w:rsidRDefault="001A7133" w:rsidP="001A713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</w:rPr>
            </w:pPr>
            <w:r w:rsidRPr="001A7133">
              <w:rPr>
                <w:rFonts w:asciiTheme="majorHAnsi" w:hAnsiTheme="majorHAnsi" w:cs="Times-Roman"/>
              </w:rPr>
              <w:t>Ototoxicity (8th cranial nerve toxicity) of the aminoglycosides can be manifested by either</w:t>
            </w:r>
          </w:p>
          <w:p w:rsidR="001A7133" w:rsidRPr="001A7133" w:rsidRDefault="001A7133" w:rsidP="001A713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</w:rPr>
            </w:pPr>
            <w:r w:rsidRPr="001A7133">
              <w:rPr>
                <w:rFonts w:asciiTheme="majorHAnsi" w:hAnsiTheme="majorHAnsi" w:cs="Times-Roman"/>
              </w:rPr>
              <w:t>auditory and/or vestibular symptoms and may be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>irreversible. Vestibular symptoms are more</w:t>
            </w:r>
            <w:r>
              <w:rPr>
                <w:rFonts w:asciiTheme="majorHAnsi" w:hAnsiTheme="majorHAnsi" w:cs="Times-Roman"/>
              </w:rPr>
              <w:t xml:space="preserve"> </w:t>
            </w:r>
            <w:r w:rsidRPr="001A7133">
              <w:rPr>
                <w:rFonts w:asciiTheme="majorHAnsi" w:hAnsiTheme="majorHAnsi" w:cs="Times-Roman"/>
              </w:rPr>
              <w:t xml:space="preserve">frequent with streptomycin, gentamicin, or tobramycin. </w:t>
            </w:r>
          </w:p>
          <w:p w:rsidR="001A7133" w:rsidRPr="001A7133" w:rsidRDefault="001A7133" w:rsidP="001A713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</w:rPr>
            </w:pPr>
            <w:r w:rsidRPr="001A7133">
              <w:rPr>
                <w:rFonts w:asciiTheme="majorHAnsi" w:hAnsiTheme="majorHAnsi" w:cs="Times-Roman"/>
              </w:rPr>
              <w:t>The aminoglycosides can also cause neuromuscular blockade, facial edema, pain/inflammation</w:t>
            </w:r>
          </w:p>
          <w:p w:rsidR="001A7133" w:rsidRPr="004E7B26" w:rsidRDefault="001A7133" w:rsidP="001A7133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</w:rPr>
            </w:pPr>
            <w:r w:rsidRPr="001A7133">
              <w:rPr>
                <w:rFonts w:asciiTheme="majorHAnsi" w:hAnsiTheme="majorHAnsi" w:cs="Times-Roman"/>
              </w:rPr>
              <w:t>at injection site, peripheral neuropathy and hypersensitivity reactions.</w:t>
            </w:r>
          </w:p>
        </w:tc>
      </w:tr>
    </w:tbl>
    <w:p w:rsidR="004E7B26" w:rsidRPr="004E7B26" w:rsidRDefault="00BD3499" w:rsidP="007154D4">
      <w:pPr>
        <w:tabs>
          <w:tab w:val="left" w:pos="1976"/>
        </w:tabs>
        <w:rPr>
          <w:rFonts w:asciiTheme="majorHAnsi" w:hAnsiTheme="majorHAnsi"/>
        </w:rPr>
      </w:pPr>
      <w:r w:rsidRPr="004E7B26">
        <w:rPr>
          <w:rFonts w:asciiTheme="majorHAnsi" w:hAnsiTheme="majorHAnsi"/>
        </w:rPr>
        <w:tab/>
      </w:r>
      <w:bookmarkStart w:id="0" w:name="_GoBack"/>
      <w:bookmarkEnd w:id="0"/>
      <w:r w:rsidR="004E7B26" w:rsidRPr="004E7B26">
        <w:rPr>
          <w:rFonts w:asciiTheme="majorHAnsi" w:hAnsiTheme="majorHAnsi"/>
        </w:rPr>
        <w:t xml:space="preserve"> </w:t>
      </w:r>
    </w:p>
    <w:sectPr w:rsidR="004E7B26" w:rsidRPr="004E7B26" w:rsidSect="007154D4">
      <w:pgSz w:w="20160" w:h="12240" w:orient="landscape" w:code="5"/>
      <w:pgMar w:top="17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42A" w:rsidRDefault="00DE442A" w:rsidP="001E569D">
      <w:pPr>
        <w:spacing w:after="0" w:line="240" w:lineRule="auto"/>
      </w:pPr>
      <w:r>
        <w:separator/>
      </w:r>
    </w:p>
  </w:endnote>
  <w:endnote w:type="continuationSeparator" w:id="0">
    <w:p w:rsidR="00DE442A" w:rsidRDefault="00DE442A" w:rsidP="001E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42A" w:rsidRDefault="00DE442A" w:rsidP="001E569D">
      <w:pPr>
        <w:spacing w:after="0" w:line="240" w:lineRule="auto"/>
      </w:pPr>
      <w:r>
        <w:separator/>
      </w:r>
    </w:p>
  </w:footnote>
  <w:footnote w:type="continuationSeparator" w:id="0">
    <w:p w:rsidR="00DE442A" w:rsidRDefault="00DE442A" w:rsidP="001E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39FD"/>
    <w:multiLevelType w:val="hybridMultilevel"/>
    <w:tmpl w:val="DD72E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36F2"/>
    <w:multiLevelType w:val="hybridMultilevel"/>
    <w:tmpl w:val="BEB84560"/>
    <w:lvl w:ilvl="0" w:tplc="DA964D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1616"/>
    <w:multiLevelType w:val="hybridMultilevel"/>
    <w:tmpl w:val="9C26F350"/>
    <w:lvl w:ilvl="0" w:tplc="74848C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326E"/>
    <w:multiLevelType w:val="hybridMultilevel"/>
    <w:tmpl w:val="86EEB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1"/>
    <w:rsid w:val="00020761"/>
    <w:rsid w:val="0004603D"/>
    <w:rsid w:val="00061D9D"/>
    <w:rsid w:val="000664D1"/>
    <w:rsid w:val="00105717"/>
    <w:rsid w:val="00163CBB"/>
    <w:rsid w:val="001840FE"/>
    <w:rsid w:val="001A7133"/>
    <w:rsid w:val="001E0472"/>
    <w:rsid w:val="001E569D"/>
    <w:rsid w:val="0033317B"/>
    <w:rsid w:val="003371F1"/>
    <w:rsid w:val="00343CA3"/>
    <w:rsid w:val="00381560"/>
    <w:rsid w:val="00422EA6"/>
    <w:rsid w:val="00483145"/>
    <w:rsid w:val="004E7B26"/>
    <w:rsid w:val="005A194B"/>
    <w:rsid w:val="00614BE3"/>
    <w:rsid w:val="006649DF"/>
    <w:rsid w:val="006650DF"/>
    <w:rsid w:val="006D0689"/>
    <w:rsid w:val="006F6D5E"/>
    <w:rsid w:val="007154D4"/>
    <w:rsid w:val="007D44F1"/>
    <w:rsid w:val="00882DD1"/>
    <w:rsid w:val="00892D2F"/>
    <w:rsid w:val="009071E2"/>
    <w:rsid w:val="0093134A"/>
    <w:rsid w:val="00970CAA"/>
    <w:rsid w:val="009A1DE7"/>
    <w:rsid w:val="00A808A0"/>
    <w:rsid w:val="00A87D9F"/>
    <w:rsid w:val="00AC6327"/>
    <w:rsid w:val="00AD7CE2"/>
    <w:rsid w:val="00B31DA8"/>
    <w:rsid w:val="00BB067B"/>
    <w:rsid w:val="00BC3B5F"/>
    <w:rsid w:val="00BD3499"/>
    <w:rsid w:val="00C476D1"/>
    <w:rsid w:val="00C65D35"/>
    <w:rsid w:val="00DE442A"/>
    <w:rsid w:val="00E357C3"/>
    <w:rsid w:val="00ED0441"/>
    <w:rsid w:val="00EF14B5"/>
    <w:rsid w:val="00F64EA4"/>
    <w:rsid w:val="00FD5C20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7DD9"/>
  <w15:docId w15:val="{38EF5C97-DE63-473E-8708-EEBDAFD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441"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D1"/>
    <w:rPr>
      <w:rFonts w:ascii="Tahoma" w:hAnsi="Tahoma" w:cs="Tahoma"/>
      <w:sz w:val="16"/>
      <w:szCs w:val="16"/>
      <w:lang w:val="en-TT"/>
    </w:rPr>
  </w:style>
  <w:style w:type="paragraph" w:styleId="NormalWeb">
    <w:name w:val="Normal (Web)"/>
    <w:basedOn w:val="Normal"/>
    <w:uiPriority w:val="99"/>
    <w:unhideWhenUsed/>
    <w:rsid w:val="0088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69D"/>
    <w:rPr>
      <w:lang w:val="en-TT"/>
    </w:rPr>
  </w:style>
  <w:style w:type="paragraph" w:styleId="Footer">
    <w:name w:val="footer"/>
    <w:basedOn w:val="Normal"/>
    <w:link w:val="Foot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69D"/>
    <w:rPr>
      <w:lang w:val="en-TT"/>
    </w:rPr>
  </w:style>
  <w:style w:type="paragraph" w:styleId="ListParagraph">
    <w:name w:val="List Paragraph"/>
    <w:basedOn w:val="Normal"/>
    <w:uiPriority w:val="34"/>
    <w:qFormat/>
    <w:rsid w:val="006F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Maharaj</dc:creator>
  <cp:lastModifiedBy>Krystal Maharaj</cp:lastModifiedBy>
  <cp:revision>4</cp:revision>
  <dcterms:created xsi:type="dcterms:W3CDTF">2018-09-08T02:25:00Z</dcterms:created>
  <dcterms:modified xsi:type="dcterms:W3CDTF">2018-09-08T06:10:00Z</dcterms:modified>
</cp:coreProperties>
</file>