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351" w:type="dxa"/>
        <w:tblInd w:w="-252" w:type="dxa"/>
        <w:tblLayout w:type="fixed"/>
        <w:tblLook w:val="04A0" w:firstRow="1" w:lastRow="0" w:firstColumn="1" w:lastColumn="0" w:noHBand="0" w:noVBand="1"/>
      </w:tblPr>
      <w:tblGrid>
        <w:gridCol w:w="3031"/>
        <w:gridCol w:w="1367"/>
        <w:gridCol w:w="2435"/>
        <w:gridCol w:w="2004"/>
        <w:gridCol w:w="2325"/>
        <w:gridCol w:w="4080"/>
        <w:gridCol w:w="4109"/>
      </w:tblGrid>
      <w:tr w:rsidR="004F426C" w:rsidRPr="004E7B26" w:rsidTr="004F426C">
        <w:trPr>
          <w:trHeight w:val="492"/>
        </w:trPr>
        <w:tc>
          <w:tcPr>
            <w:tcW w:w="3031" w:type="dxa"/>
          </w:tcPr>
          <w:p w:rsidR="004F426C" w:rsidRPr="004E7B26" w:rsidRDefault="004F426C" w:rsidP="00DA75AC">
            <w:pPr>
              <w:rPr>
                <w:rFonts w:asciiTheme="majorHAnsi" w:hAnsiTheme="majorHAnsi"/>
                <w:b/>
              </w:rPr>
            </w:pPr>
            <w:r w:rsidRPr="004E7B26">
              <w:rPr>
                <w:rFonts w:asciiTheme="majorHAnsi" w:hAnsiTheme="majorHAnsi"/>
                <w:b/>
              </w:rPr>
              <w:t>Drug</w:t>
            </w:r>
          </w:p>
        </w:tc>
        <w:tc>
          <w:tcPr>
            <w:tcW w:w="1367" w:type="dxa"/>
          </w:tcPr>
          <w:p w:rsidR="004F426C" w:rsidRPr="004E7B26" w:rsidRDefault="004F426C" w:rsidP="00DA75AC">
            <w:pPr>
              <w:rPr>
                <w:rFonts w:asciiTheme="majorHAnsi" w:hAnsiTheme="majorHAnsi"/>
                <w:b/>
              </w:rPr>
            </w:pPr>
            <w:r w:rsidRPr="004E7B26">
              <w:rPr>
                <w:rFonts w:asciiTheme="majorHAnsi" w:hAnsiTheme="majorHAnsi"/>
                <w:b/>
              </w:rPr>
              <w:t>Species</w:t>
            </w:r>
          </w:p>
        </w:tc>
        <w:tc>
          <w:tcPr>
            <w:tcW w:w="2435" w:type="dxa"/>
          </w:tcPr>
          <w:p w:rsidR="004F426C" w:rsidRPr="004E7B26" w:rsidRDefault="004F426C" w:rsidP="00DA75AC">
            <w:pPr>
              <w:rPr>
                <w:rFonts w:asciiTheme="majorHAnsi" w:hAnsiTheme="majorHAnsi"/>
                <w:b/>
              </w:rPr>
            </w:pPr>
            <w:r w:rsidRPr="004E7B26">
              <w:rPr>
                <w:rFonts w:asciiTheme="majorHAnsi" w:hAnsiTheme="majorHAnsi"/>
                <w:b/>
              </w:rPr>
              <w:t>Indications</w:t>
            </w:r>
          </w:p>
        </w:tc>
        <w:tc>
          <w:tcPr>
            <w:tcW w:w="2004" w:type="dxa"/>
          </w:tcPr>
          <w:p w:rsidR="004F426C" w:rsidRPr="004E7B26" w:rsidRDefault="004F426C" w:rsidP="00DA75AC">
            <w:pPr>
              <w:rPr>
                <w:rFonts w:asciiTheme="majorHAnsi" w:hAnsiTheme="majorHAnsi"/>
                <w:b/>
              </w:rPr>
            </w:pPr>
            <w:r w:rsidRPr="004E7B26">
              <w:rPr>
                <w:rFonts w:asciiTheme="majorHAnsi" w:hAnsiTheme="majorHAnsi"/>
                <w:b/>
              </w:rPr>
              <w:t>Therapeutic Dose</w:t>
            </w:r>
          </w:p>
        </w:tc>
        <w:tc>
          <w:tcPr>
            <w:tcW w:w="2325" w:type="dxa"/>
          </w:tcPr>
          <w:p w:rsidR="004F426C" w:rsidRPr="004E7B26" w:rsidRDefault="004F426C" w:rsidP="00DA75AC">
            <w:pPr>
              <w:rPr>
                <w:rFonts w:asciiTheme="majorHAnsi" w:hAnsiTheme="majorHAnsi"/>
                <w:b/>
              </w:rPr>
            </w:pPr>
            <w:r w:rsidRPr="004E7B26">
              <w:rPr>
                <w:rFonts w:asciiTheme="majorHAnsi" w:hAnsiTheme="majorHAnsi"/>
                <w:b/>
              </w:rPr>
              <w:t>Contraindications</w:t>
            </w:r>
          </w:p>
        </w:tc>
        <w:tc>
          <w:tcPr>
            <w:tcW w:w="4080" w:type="dxa"/>
          </w:tcPr>
          <w:p w:rsidR="004F426C" w:rsidRPr="004E7B26" w:rsidRDefault="004F426C" w:rsidP="00DA75AC">
            <w:pPr>
              <w:rPr>
                <w:rFonts w:asciiTheme="majorHAnsi" w:hAnsiTheme="majorHAnsi"/>
                <w:b/>
              </w:rPr>
            </w:pPr>
            <w:r>
              <w:rPr>
                <w:rFonts w:asciiTheme="majorHAnsi" w:hAnsiTheme="majorHAnsi"/>
                <w:b/>
              </w:rPr>
              <w:t>Warnings</w:t>
            </w:r>
          </w:p>
        </w:tc>
        <w:tc>
          <w:tcPr>
            <w:tcW w:w="4109" w:type="dxa"/>
          </w:tcPr>
          <w:p w:rsidR="004F426C" w:rsidRPr="004E7B26" w:rsidRDefault="004F426C" w:rsidP="00DA75AC">
            <w:pPr>
              <w:rPr>
                <w:rFonts w:asciiTheme="majorHAnsi" w:hAnsiTheme="majorHAnsi"/>
                <w:b/>
              </w:rPr>
            </w:pPr>
            <w:r w:rsidRPr="004E7B26">
              <w:rPr>
                <w:rFonts w:asciiTheme="majorHAnsi" w:hAnsiTheme="majorHAnsi"/>
                <w:b/>
              </w:rPr>
              <w:t>Adverse Effects</w:t>
            </w:r>
          </w:p>
        </w:tc>
      </w:tr>
      <w:tr w:rsidR="004F426C" w:rsidRPr="004E7B26" w:rsidTr="004F426C">
        <w:trPr>
          <w:trHeight w:val="5365"/>
        </w:trPr>
        <w:tc>
          <w:tcPr>
            <w:tcW w:w="3031" w:type="dxa"/>
          </w:tcPr>
          <w:p w:rsidR="004F426C" w:rsidRDefault="004F426C" w:rsidP="001A7133">
            <w:pPr>
              <w:ind w:left="-108"/>
              <w:rPr>
                <w:rFonts w:asciiTheme="majorHAnsi" w:hAnsiTheme="majorHAnsi"/>
              </w:rPr>
            </w:pPr>
            <w:r>
              <w:rPr>
                <w:rFonts w:asciiTheme="majorHAnsi" w:hAnsiTheme="majorHAnsi"/>
              </w:rPr>
              <w:t>Equi- Phar Nitrofurazone Soluble Dressing- An Anti-Bacterial Preparation for Tropical Application</w:t>
            </w:r>
          </w:p>
          <w:p w:rsidR="004F426C" w:rsidRDefault="004F426C" w:rsidP="001A7133">
            <w:pPr>
              <w:ind w:left="-108"/>
              <w:rPr>
                <w:rFonts w:asciiTheme="majorHAnsi" w:hAnsiTheme="majorHAnsi"/>
              </w:rPr>
            </w:pPr>
          </w:p>
          <w:p w:rsidR="004F426C" w:rsidRPr="004E7B26" w:rsidRDefault="004F426C" w:rsidP="001A7133">
            <w:pPr>
              <w:ind w:left="-108"/>
              <w:rPr>
                <w:rFonts w:asciiTheme="majorHAnsi" w:hAnsiTheme="majorHAnsi"/>
              </w:rPr>
            </w:pPr>
            <w:r>
              <w:rPr>
                <w:noProof/>
              </w:rPr>
              <w:drawing>
                <wp:inline distT="0" distB="0" distL="0" distR="0" wp14:anchorId="53F7DE19" wp14:editId="67104BF5">
                  <wp:extent cx="1721485" cy="1923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199" t="27726" r="16817" b="16139"/>
                          <a:stretch/>
                        </pic:blipFill>
                        <pic:spPr bwMode="auto">
                          <a:xfrm>
                            <a:off x="0" y="0"/>
                            <a:ext cx="1737019" cy="19411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7" w:type="dxa"/>
          </w:tcPr>
          <w:p w:rsidR="004F426C" w:rsidRPr="004E7B26" w:rsidRDefault="004F426C" w:rsidP="001A7133">
            <w:pPr>
              <w:rPr>
                <w:rFonts w:asciiTheme="majorHAnsi" w:hAnsiTheme="majorHAnsi"/>
              </w:rPr>
            </w:pPr>
            <w:r>
              <w:rPr>
                <w:rFonts w:asciiTheme="majorHAnsi" w:hAnsiTheme="majorHAnsi"/>
              </w:rPr>
              <w:t xml:space="preserve">Horses </w:t>
            </w:r>
            <w:bookmarkStart w:id="0" w:name="_GoBack"/>
            <w:bookmarkEnd w:id="0"/>
          </w:p>
        </w:tc>
        <w:tc>
          <w:tcPr>
            <w:tcW w:w="2435" w:type="dxa"/>
          </w:tcPr>
          <w:p w:rsidR="004F426C" w:rsidRPr="004E7B26" w:rsidRDefault="004F426C" w:rsidP="001A7133">
            <w:pPr>
              <w:autoSpaceDE w:val="0"/>
              <w:autoSpaceDN w:val="0"/>
              <w:adjustRightInd w:val="0"/>
              <w:rPr>
                <w:rFonts w:asciiTheme="majorHAnsi" w:hAnsiTheme="majorHAnsi" w:cs="Times-Roman"/>
                <w:lang w:val="en-US"/>
              </w:rPr>
            </w:pPr>
            <w:r>
              <w:rPr>
                <w:rFonts w:asciiTheme="majorHAnsi" w:hAnsiTheme="majorHAnsi" w:cs="Times-Roman"/>
              </w:rPr>
              <w:t>F</w:t>
            </w:r>
            <w:r w:rsidRPr="00250BCC">
              <w:rPr>
                <w:rFonts w:asciiTheme="majorHAnsi" w:hAnsiTheme="majorHAnsi" w:cs="Times-Roman"/>
              </w:rPr>
              <w:t>or the prevention or treatment of surface bacterial infections of wounds, burns, and cutaneous ulcers, by organisms sensitive to nitrofurazone. </w:t>
            </w:r>
            <w:r>
              <w:rPr>
                <w:rFonts w:asciiTheme="majorHAnsi" w:hAnsiTheme="majorHAnsi" w:cs="Times-Roman"/>
              </w:rPr>
              <w:t xml:space="preserve"> </w:t>
            </w:r>
          </w:p>
        </w:tc>
        <w:tc>
          <w:tcPr>
            <w:tcW w:w="2004" w:type="dxa"/>
          </w:tcPr>
          <w:p w:rsidR="004F426C" w:rsidRPr="00DF17EC" w:rsidRDefault="004F426C" w:rsidP="001A7133">
            <w:pPr>
              <w:rPr>
                <w:rFonts w:cs="Times New Roman"/>
                <w:sz w:val="22"/>
                <w:szCs w:val="22"/>
              </w:rPr>
            </w:pPr>
            <w:r>
              <w:rPr>
                <w:rFonts w:cs="Times New Roman"/>
                <w:sz w:val="22"/>
                <w:szCs w:val="22"/>
              </w:rPr>
              <w:t>A</w:t>
            </w:r>
            <w:r w:rsidRPr="004F426C">
              <w:rPr>
                <w:rFonts w:cs="Times New Roman"/>
                <w:sz w:val="22"/>
                <w:szCs w:val="22"/>
              </w:rPr>
              <w:t>pply directly on the lesion with a spatula or on a piece of gauze. Application of a bandage is optional. This preparation should be in contact with the lesion for at least 24 hours. The dressing may be changed several times daily or left on the lesion for a longer period.</w:t>
            </w:r>
          </w:p>
        </w:tc>
        <w:tc>
          <w:tcPr>
            <w:tcW w:w="2325" w:type="dxa"/>
          </w:tcPr>
          <w:p w:rsidR="004F426C" w:rsidRPr="004E7B26" w:rsidRDefault="004F426C" w:rsidP="001A7133">
            <w:pPr>
              <w:rPr>
                <w:rFonts w:cs="Times New Roman"/>
              </w:rPr>
            </w:pPr>
            <w:r>
              <w:rPr>
                <w:rFonts w:cs="Times New Roman"/>
              </w:rPr>
              <w:t xml:space="preserve">Not used for horses that will be intended as food. </w:t>
            </w:r>
          </w:p>
        </w:tc>
        <w:tc>
          <w:tcPr>
            <w:tcW w:w="4080" w:type="dxa"/>
          </w:tcPr>
          <w:p w:rsidR="004F426C" w:rsidRPr="004F426C" w:rsidRDefault="004F426C" w:rsidP="004F426C">
            <w:pPr>
              <w:rPr>
                <w:rFonts w:asciiTheme="majorHAnsi" w:hAnsiTheme="majorHAnsi" w:cs="Times-Roman"/>
              </w:rPr>
            </w:pPr>
            <w:r w:rsidRPr="004F426C">
              <w:rPr>
                <w:rFonts w:asciiTheme="majorHAnsi" w:hAnsiTheme="majorHAnsi" w:cs="Times-Roman"/>
              </w:rPr>
              <w:t>Carcinogenesis: Nitrofurazone, the active ingredient of Nitrofurazone Soluble Dressing, has been shown to produce mammary tumors in rats and ovarian tumors in mice. Additionally, some people may be hypersensitive to the product. Either wear gloves when applying, or wash hands afterwards.</w:t>
            </w:r>
          </w:p>
          <w:p w:rsidR="004F426C" w:rsidRPr="004F426C" w:rsidRDefault="004F426C" w:rsidP="004F426C">
            <w:pPr>
              <w:rPr>
                <w:rFonts w:asciiTheme="majorHAnsi" w:hAnsiTheme="majorHAnsi" w:cs="Times-Roman"/>
              </w:rPr>
            </w:pPr>
            <w:r w:rsidRPr="004F426C">
              <w:rPr>
                <w:rFonts w:asciiTheme="majorHAnsi" w:hAnsiTheme="majorHAnsi" w:cs="Times-Roman"/>
              </w:rPr>
              <w:t>Keep away from excessive heat or direct sunlight. Avoid exposure to alkaline material and strong fluorescent lighting.</w:t>
            </w:r>
          </w:p>
          <w:p w:rsidR="004F426C" w:rsidRPr="004E7B26" w:rsidRDefault="004F426C" w:rsidP="001A7133">
            <w:pPr>
              <w:rPr>
                <w:rFonts w:asciiTheme="majorHAnsi" w:hAnsiTheme="majorHAnsi" w:cs="Times-Roman"/>
                <w:lang w:val="en-US"/>
              </w:rPr>
            </w:pPr>
          </w:p>
        </w:tc>
        <w:tc>
          <w:tcPr>
            <w:tcW w:w="4109" w:type="dxa"/>
          </w:tcPr>
          <w:p w:rsidR="004F426C" w:rsidRPr="004E7B26" w:rsidRDefault="004F426C" w:rsidP="00FF5583">
            <w:pPr>
              <w:autoSpaceDE w:val="0"/>
              <w:autoSpaceDN w:val="0"/>
              <w:adjustRightInd w:val="0"/>
              <w:rPr>
                <w:rFonts w:asciiTheme="majorHAnsi" w:hAnsiTheme="majorHAnsi" w:cs="Times-Roman"/>
              </w:rPr>
            </w:pPr>
            <w:r w:rsidRPr="004F426C">
              <w:rPr>
                <w:rFonts w:asciiTheme="majorHAnsi" w:hAnsiTheme="majorHAnsi" w:cs="Times-Roman"/>
              </w:rPr>
              <w:t>In case of deep or puncture wounds, or serious burns, consult a veterinarian. If redness, irritation, or swelling persists or increases, discontinue use and consult a veterinarian.</w:t>
            </w:r>
          </w:p>
        </w:tc>
      </w:tr>
    </w:tbl>
    <w:p w:rsidR="00105717" w:rsidRPr="004E7B26" w:rsidRDefault="00BD3499" w:rsidP="00BD3499">
      <w:pPr>
        <w:tabs>
          <w:tab w:val="left" w:pos="1976"/>
        </w:tabs>
        <w:rPr>
          <w:rFonts w:asciiTheme="majorHAnsi" w:hAnsiTheme="majorHAnsi"/>
        </w:rPr>
      </w:pPr>
      <w:r w:rsidRPr="004E7B26">
        <w:rPr>
          <w:rFonts w:asciiTheme="majorHAnsi" w:hAnsiTheme="majorHAnsi"/>
        </w:rPr>
        <w:tab/>
      </w:r>
    </w:p>
    <w:sectPr w:rsidR="00105717" w:rsidRPr="004E7B26" w:rsidSect="001E569D">
      <w:pgSz w:w="20160" w:h="12240" w:orient="landscape" w:code="5"/>
      <w:pgMar w:top="36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1C7" w:rsidRDefault="00A671C7" w:rsidP="001E569D">
      <w:pPr>
        <w:spacing w:after="0" w:line="240" w:lineRule="auto"/>
      </w:pPr>
      <w:r>
        <w:separator/>
      </w:r>
    </w:p>
  </w:endnote>
  <w:endnote w:type="continuationSeparator" w:id="0">
    <w:p w:rsidR="00A671C7" w:rsidRDefault="00A671C7" w:rsidP="001E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1C7" w:rsidRDefault="00A671C7" w:rsidP="001E569D">
      <w:pPr>
        <w:spacing w:after="0" w:line="240" w:lineRule="auto"/>
      </w:pPr>
      <w:r>
        <w:separator/>
      </w:r>
    </w:p>
  </w:footnote>
  <w:footnote w:type="continuationSeparator" w:id="0">
    <w:p w:rsidR="00A671C7" w:rsidRDefault="00A671C7" w:rsidP="001E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39FD"/>
    <w:multiLevelType w:val="hybridMultilevel"/>
    <w:tmpl w:val="DD72E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936F2"/>
    <w:multiLevelType w:val="hybridMultilevel"/>
    <w:tmpl w:val="BEB84560"/>
    <w:lvl w:ilvl="0" w:tplc="DA964D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51616"/>
    <w:multiLevelType w:val="hybridMultilevel"/>
    <w:tmpl w:val="9C26F350"/>
    <w:lvl w:ilvl="0" w:tplc="74848C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4326E"/>
    <w:multiLevelType w:val="hybridMultilevel"/>
    <w:tmpl w:val="86EEB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1"/>
    <w:rsid w:val="00020761"/>
    <w:rsid w:val="0004603D"/>
    <w:rsid w:val="00061D9D"/>
    <w:rsid w:val="000664D1"/>
    <w:rsid w:val="00105717"/>
    <w:rsid w:val="00163CBB"/>
    <w:rsid w:val="001840FE"/>
    <w:rsid w:val="001A7133"/>
    <w:rsid w:val="001E0472"/>
    <w:rsid w:val="001E569D"/>
    <w:rsid w:val="00250BCC"/>
    <w:rsid w:val="0032131C"/>
    <w:rsid w:val="0033317B"/>
    <w:rsid w:val="003371F1"/>
    <w:rsid w:val="00381560"/>
    <w:rsid w:val="00422EA6"/>
    <w:rsid w:val="00483145"/>
    <w:rsid w:val="004E0087"/>
    <w:rsid w:val="004E7B26"/>
    <w:rsid w:val="004F426C"/>
    <w:rsid w:val="00562691"/>
    <w:rsid w:val="005A194B"/>
    <w:rsid w:val="00614BE3"/>
    <w:rsid w:val="006649DF"/>
    <w:rsid w:val="006650DF"/>
    <w:rsid w:val="00680A5E"/>
    <w:rsid w:val="006D0689"/>
    <w:rsid w:val="006F6D5E"/>
    <w:rsid w:val="007D44F1"/>
    <w:rsid w:val="007E5AEE"/>
    <w:rsid w:val="00882DD1"/>
    <w:rsid w:val="00892D2F"/>
    <w:rsid w:val="009071E2"/>
    <w:rsid w:val="0093134A"/>
    <w:rsid w:val="00970CAA"/>
    <w:rsid w:val="009A1DE7"/>
    <w:rsid w:val="00A671C7"/>
    <w:rsid w:val="00A808A0"/>
    <w:rsid w:val="00A87D9F"/>
    <w:rsid w:val="00AC6327"/>
    <w:rsid w:val="00AD7CE2"/>
    <w:rsid w:val="00B31DA8"/>
    <w:rsid w:val="00BB067B"/>
    <w:rsid w:val="00BC3B5F"/>
    <w:rsid w:val="00BD3499"/>
    <w:rsid w:val="00C476D1"/>
    <w:rsid w:val="00C65D35"/>
    <w:rsid w:val="00E357C3"/>
    <w:rsid w:val="00ED0441"/>
    <w:rsid w:val="00EF14B5"/>
    <w:rsid w:val="00F64EA4"/>
    <w:rsid w:val="00FD5C20"/>
    <w:rsid w:val="00FE22D9"/>
    <w:rsid w:val="00FF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5AAF"/>
  <w15:docId w15:val="{38EF5C97-DE63-473E-8708-EEBDAFD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441"/>
    <w:rPr>
      <w:lang w:val="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D1"/>
    <w:rPr>
      <w:rFonts w:ascii="Tahoma" w:hAnsi="Tahoma" w:cs="Tahoma"/>
      <w:sz w:val="16"/>
      <w:szCs w:val="16"/>
      <w:lang w:val="en-TT"/>
    </w:rPr>
  </w:style>
  <w:style w:type="paragraph" w:styleId="NormalWeb">
    <w:name w:val="Normal (Web)"/>
    <w:basedOn w:val="Normal"/>
    <w:uiPriority w:val="99"/>
    <w:unhideWhenUsed/>
    <w:rsid w:val="00882DD1"/>
    <w:pPr>
      <w:spacing w:before="100" w:beforeAutospacing="1" w:after="100" w:afterAutospacing="1" w:line="240" w:lineRule="auto"/>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1E5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69D"/>
    <w:rPr>
      <w:lang w:val="en-TT"/>
    </w:rPr>
  </w:style>
  <w:style w:type="paragraph" w:styleId="Footer">
    <w:name w:val="footer"/>
    <w:basedOn w:val="Normal"/>
    <w:link w:val="FooterChar"/>
    <w:uiPriority w:val="99"/>
    <w:semiHidden/>
    <w:unhideWhenUsed/>
    <w:rsid w:val="001E5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69D"/>
    <w:rPr>
      <w:lang w:val="en-TT"/>
    </w:rPr>
  </w:style>
  <w:style w:type="paragraph" w:styleId="ListParagraph">
    <w:name w:val="List Paragraph"/>
    <w:basedOn w:val="Normal"/>
    <w:uiPriority w:val="34"/>
    <w:qFormat/>
    <w:rsid w:val="006F6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40068">
      <w:bodyDiv w:val="1"/>
      <w:marLeft w:val="0"/>
      <w:marRight w:val="0"/>
      <w:marTop w:val="0"/>
      <w:marBottom w:val="0"/>
      <w:divBdr>
        <w:top w:val="none" w:sz="0" w:space="0" w:color="auto"/>
        <w:left w:val="none" w:sz="0" w:space="0" w:color="auto"/>
        <w:bottom w:val="none" w:sz="0" w:space="0" w:color="auto"/>
        <w:right w:val="none" w:sz="0" w:space="0" w:color="auto"/>
      </w:divBdr>
    </w:div>
    <w:div w:id="11234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Maharaj</dc:creator>
  <cp:lastModifiedBy>Krystal Maharaj</cp:lastModifiedBy>
  <cp:revision>2</cp:revision>
  <dcterms:created xsi:type="dcterms:W3CDTF">2018-09-08T03:02:00Z</dcterms:created>
  <dcterms:modified xsi:type="dcterms:W3CDTF">2018-09-08T03:02:00Z</dcterms:modified>
</cp:coreProperties>
</file>