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9371" w:type="dxa"/>
        <w:tblInd w:w="-252" w:type="dxa"/>
        <w:tblLayout w:type="fixed"/>
        <w:tblLook w:val="04A0" w:firstRow="1" w:lastRow="0" w:firstColumn="1" w:lastColumn="0" w:noHBand="0" w:noVBand="1"/>
      </w:tblPr>
      <w:tblGrid>
        <w:gridCol w:w="3461"/>
        <w:gridCol w:w="1562"/>
        <w:gridCol w:w="2781"/>
        <w:gridCol w:w="2289"/>
        <w:gridCol w:w="3212"/>
        <w:gridCol w:w="6066"/>
      </w:tblGrid>
      <w:tr w:rsidR="00381560" w:rsidRPr="006F6D5E" w:rsidTr="00381560">
        <w:trPr>
          <w:trHeight w:val="674"/>
        </w:trPr>
        <w:tc>
          <w:tcPr>
            <w:tcW w:w="3461" w:type="dxa"/>
          </w:tcPr>
          <w:p w:rsidR="00381560" w:rsidRPr="006F6D5E" w:rsidRDefault="00381560" w:rsidP="00DA75AC">
            <w:pPr>
              <w:rPr>
                <w:rFonts w:asciiTheme="majorHAnsi" w:hAnsiTheme="majorHAnsi"/>
                <w:b/>
                <w:sz w:val="22"/>
                <w:szCs w:val="22"/>
              </w:rPr>
            </w:pPr>
            <w:r w:rsidRPr="006F6D5E">
              <w:rPr>
                <w:rFonts w:asciiTheme="majorHAnsi" w:hAnsiTheme="majorHAnsi"/>
                <w:b/>
                <w:sz w:val="22"/>
                <w:szCs w:val="22"/>
              </w:rPr>
              <w:t>Drug</w:t>
            </w:r>
          </w:p>
        </w:tc>
        <w:tc>
          <w:tcPr>
            <w:tcW w:w="1562" w:type="dxa"/>
          </w:tcPr>
          <w:p w:rsidR="00381560" w:rsidRPr="006F6D5E" w:rsidRDefault="00381560" w:rsidP="00DA75AC">
            <w:pPr>
              <w:rPr>
                <w:rFonts w:asciiTheme="majorHAnsi" w:hAnsiTheme="majorHAnsi"/>
                <w:b/>
                <w:sz w:val="22"/>
                <w:szCs w:val="22"/>
              </w:rPr>
            </w:pPr>
            <w:r w:rsidRPr="006F6D5E">
              <w:rPr>
                <w:rFonts w:asciiTheme="majorHAnsi" w:hAnsiTheme="majorHAnsi"/>
                <w:b/>
                <w:sz w:val="22"/>
                <w:szCs w:val="22"/>
              </w:rPr>
              <w:t>Species</w:t>
            </w:r>
          </w:p>
        </w:tc>
        <w:tc>
          <w:tcPr>
            <w:tcW w:w="2781" w:type="dxa"/>
          </w:tcPr>
          <w:p w:rsidR="00381560" w:rsidRPr="006F6D5E" w:rsidRDefault="00381560" w:rsidP="00DA75AC">
            <w:pPr>
              <w:rPr>
                <w:rFonts w:asciiTheme="majorHAnsi" w:hAnsiTheme="majorHAnsi"/>
                <w:b/>
                <w:sz w:val="22"/>
                <w:szCs w:val="22"/>
              </w:rPr>
            </w:pPr>
            <w:r w:rsidRPr="006F6D5E">
              <w:rPr>
                <w:rFonts w:asciiTheme="majorHAnsi" w:hAnsiTheme="majorHAnsi"/>
                <w:b/>
                <w:sz w:val="22"/>
                <w:szCs w:val="22"/>
              </w:rPr>
              <w:t>Indications</w:t>
            </w:r>
          </w:p>
        </w:tc>
        <w:tc>
          <w:tcPr>
            <w:tcW w:w="2289" w:type="dxa"/>
          </w:tcPr>
          <w:p w:rsidR="00381560" w:rsidRPr="006F6D5E" w:rsidRDefault="00381560" w:rsidP="00DA75AC">
            <w:pPr>
              <w:rPr>
                <w:rFonts w:asciiTheme="majorHAnsi" w:hAnsiTheme="majorHAnsi"/>
                <w:b/>
                <w:sz w:val="22"/>
                <w:szCs w:val="22"/>
              </w:rPr>
            </w:pPr>
            <w:r w:rsidRPr="006F6D5E">
              <w:rPr>
                <w:rFonts w:asciiTheme="majorHAnsi" w:hAnsiTheme="majorHAnsi"/>
                <w:b/>
                <w:sz w:val="22"/>
                <w:szCs w:val="22"/>
              </w:rPr>
              <w:t>Therapeutic Dose</w:t>
            </w:r>
          </w:p>
        </w:tc>
        <w:tc>
          <w:tcPr>
            <w:tcW w:w="3212" w:type="dxa"/>
          </w:tcPr>
          <w:p w:rsidR="00381560" w:rsidRPr="006F6D5E" w:rsidRDefault="00381560" w:rsidP="00DA75AC">
            <w:pPr>
              <w:rPr>
                <w:rFonts w:asciiTheme="majorHAnsi" w:hAnsiTheme="majorHAnsi"/>
                <w:b/>
                <w:sz w:val="22"/>
                <w:szCs w:val="22"/>
              </w:rPr>
            </w:pPr>
            <w:r w:rsidRPr="006F6D5E">
              <w:rPr>
                <w:rFonts w:asciiTheme="majorHAnsi" w:hAnsiTheme="majorHAnsi"/>
                <w:b/>
                <w:sz w:val="22"/>
                <w:szCs w:val="22"/>
              </w:rPr>
              <w:t>Contraindications</w:t>
            </w:r>
          </w:p>
        </w:tc>
        <w:tc>
          <w:tcPr>
            <w:tcW w:w="6066" w:type="dxa"/>
          </w:tcPr>
          <w:p w:rsidR="00381560" w:rsidRPr="006F6D5E" w:rsidRDefault="00381560" w:rsidP="00DA75AC">
            <w:pPr>
              <w:rPr>
                <w:rFonts w:asciiTheme="majorHAnsi" w:hAnsiTheme="majorHAnsi"/>
                <w:b/>
                <w:sz w:val="22"/>
                <w:szCs w:val="22"/>
              </w:rPr>
            </w:pPr>
            <w:r w:rsidRPr="006F6D5E">
              <w:rPr>
                <w:rFonts w:asciiTheme="majorHAnsi" w:hAnsiTheme="majorHAnsi"/>
                <w:b/>
                <w:sz w:val="22"/>
                <w:szCs w:val="22"/>
              </w:rPr>
              <w:t>Pharmacology</w:t>
            </w:r>
          </w:p>
        </w:tc>
      </w:tr>
      <w:tr w:rsidR="00381560" w:rsidRPr="006F6D5E" w:rsidTr="00381560">
        <w:trPr>
          <w:trHeight w:val="7355"/>
        </w:trPr>
        <w:tc>
          <w:tcPr>
            <w:tcW w:w="3461" w:type="dxa"/>
          </w:tcPr>
          <w:p w:rsidR="00381560" w:rsidRDefault="00381560" w:rsidP="00061D9D">
            <w:pPr>
              <w:ind w:left="-108"/>
              <w:rPr>
                <w:rFonts w:asciiTheme="majorHAnsi" w:hAnsiTheme="majorHAnsi"/>
                <w:sz w:val="22"/>
                <w:szCs w:val="22"/>
              </w:rPr>
            </w:pPr>
            <w:r>
              <w:rPr>
                <w:rFonts w:asciiTheme="majorHAnsi" w:hAnsiTheme="majorHAnsi"/>
                <w:sz w:val="22"/>
                <w:szCs w:val="22"/>
              </w:rPr>
              <w:t>Dufafloxacin 10%</w:t>
            </w:r>
          </w:p>
          <w:p w:rsidR="00381560" w:rsidRDefault="00381560" w:rsidP="00061D9D">
            <w:pPr>
              <w:ind w:left="-108"/>
              <w:rPr>
                <w:rFonts w:asciiTheme="majorHAnsi" w:hAnsiTheme="majorHAnsi"/>
                <w:sz w:val="22"/>
                <w:szCs w:val="22"/>
              </w:rPr>
            </w:pPr>
            <w:r>
              <w:rPr>
                <w:rFonts w:asciiTheme="majorHAnsi" w:hAnsiTheme="majorHAnsi"/>
                <w:sz w:val="22"/>
                <w:szCs w:val="22"/>
              </w:rPr>
              <w:t>(Enrofloxacin)</w:t>
            </w:r>
          </w:p>
          <w:p w:rsidR="00381560" w:rsidRDefault="00381560" w:rsidP="00061D9D">
            <w:pPr>
              <w:ind w:left="-108"/>
              <w:rPr>
                <w:rFonts w:asciiTheme="majorHAnsi" w:hAnsiTheme="majorHAnsi"/>
                <w:sz w:val="22"/>
                <w:szCs w:val="22"/>
              </w:rPr>
            </w:pPr>
          </w:p>
          <w:p w:rsidR="00381560" w:rsidRDefault="00381560" w:rsidP="00061D9D">
            <w:pPr>
              <w:ind w:left="-108"/>
              <w:rPr>
                <w:rFonts w:asciiTheme="majorHAnsi" w:hAnsiTheme="majorHAnsi"/>
                <w:sz w:val="22"/>
                <w:szCs w:val="22"/>
              </w:rPr>
            </w:pPr>
            <w:r>
              <w:rPr>
                <w:noProof/>
              </w:rPr>
              <w:drawing>
                <wp:inline distT="0" distB="0" distL="0" distR="0" wp14:anchorId="759319D5" wp14:editId="275307ED">
                  <wp:extent cx="1608931" cy="220881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801" t="16513" r="32235" b="22776"/>
                          <a:stretch/>
                        </pic:blipFill>
                        <pic:spPr bwMode="auto">
                          <a:xfrm>
                            <a:off x="0" y="0"/>
                            <a:ext cx="1615722" cy="2218133"/>
                          </a:xfrm>
                          <a:prstGeom prst="rect">
                            <a:avLst/>
                          </a:prstGeom>
                          <a:noFill/>
                          <a:ln>
                            <a:noFill/>
                          </a:ln>
                          <a:extLst>
                            <a:ext uri="{53640926-AAD7-44D8-BBD7-CCE9431645EC}">
                              <a14:shadowObscured xmlns:a14="http://schemas.microsoft.com/office/drawing/2010/main"/>
                            </a:ext>
                          </a:extLst>
                        </pic:spPr>
                      </pic:pic>
                    </a:graphicData>
                  </a:graphic>
                </wp:inline>
              </w:drawing>
            </w:r>
          </w:p>
          <w:p w:rsidR="00381560" w:rsidRPr="00061D9D" w:rsidRDefault="00381560" w:rsidP="00061D9D">
            <w:pPr>
              <w:ind w:left="-108"/>
              <w:rPr>
                <w:rFonts w:asciiTheme="majorHAnsi" w:hAnsiTheme="majorHAnsi"/>
                <w:sz w:val="22"/>
                <w:szCs w:val="22"/>
              </w:rPr>
            </w:pPr>
            <w:r>
              <w:rPr>
                <w:noProof/>
              </w:rPr>
              <w:drawing>
                <wp:inline distT="0" distB="0" distL="0" distR="0" wp14:anchorId="3763D934" wp14:editId="0C906C05">
                  <wp:extent cx="1591294" cy="2068517"/>
                  <wp:effectExtent l="0" t="0" r="952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215" t="19821" r="20771" b="15821"/>
                          <a:stretch/>
                        </pic:blipFill>
                        <pic:spPr bwMode="auto">
                          <a:xfrm>
                            <a:off x="0" y="0"/>
                            <a:ext cx="1591294" cy="20685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2" w:type="dxa"/>
          </w:tcPr>
          <w:p w:rsidR="00381560" w:rsidRPr="00061D9D" w:rsidRDefault="00381560" w:rsidP="00061D9D">
            <w:pPr>
              <w:rPr>
                <w:rFonts w:asciiTheme="majorHAnsi" w:hAnsiTheme="majorHAnsi"/>
                <w:sz w:val="22"/>
                <w:szCs w:val="22"/>
              </w:rPr>
            </w:pPr>
            <w:r>
              <w:rPr>
                <w:rFonts w:asciiTheme="majorHAnsi" w:hAnsiTheme="majorHAnsi"/>
                <w:sz w:val="22"/>
                <w:szCs w:val="22"/>
              </w:rPr>
              <w:t>Cattle, Swine</w:t>
            </w:r>
          </w:p>
        </w:tc>
        <w:tc>
          <w:tcPr>
            <w:tcW w:w="2781" w:type="dxa"/>
          </w:tcPr>
          <w:p w:rsidR="00381560" w:rsidRPr="00061D9D" w:rsidRDefault="00381560" w:rsidP="006649DF">
            <w:pPr>
              <w:autoSpaceDE w:val="0"/>
              <w:autoSpaceDN w:val="0"/>
              <w:adjustRightInd w:val="0"/>
              <w:rPr>
                <w:rFonts w:asciiTheme="majorHAnsi" w:hAnsiTheme="majorHAnsi" w:cs="Times-Roman"/>
                <w:sz w:val="22"/>
                <w:szCs w:val="22"/>
                <w:lang w:val="en-US"/>
              </w:rPr>
            </w:pPr>
            <w:r>
              <w:rPr>
                <w:rFonts w:asciiTheme="majorHAnsi" w:hAnsiTheme="majorHAnsi" w:cs="Times-Roman"/>
                <w:sz w:val="22"/>
                <w:szCs w:val="22"/>
                <w:lang w:val="en-US"/>
              </w:rPr>
              <w:t xml:space="preserve">Gastrointestinal and respiratory infections such as pasteurellosis, mycoplasmosis, colibacillosis, colisepticemia and salmonellosis in non dairy cattle and swine. Secondary bacterial infections during the course of viral disease, such as bovine respiratory disease complex. </w:t>
            </w:r>
          </w:p>
        </w:tc>
        <w:tc>
          <w:tcPr>
            <w:tcW w:w="2289" w:type="dxa"/>
          </w:tcPr>
          <w:p w:rsidR="00381560" w:rsidRDefault="00381560" w:rsidP="00E357C3">
            <w:pPr>
              <w:rPr>
                <w:rFonts w:asciiTheme="majorHAnsi" w:hAnsiTheme="majorHAnsi" w:cs="Times-Roman"/>
                <w:sz w:val="22"/>
                <w:szCs w:val="22"/>
                <w:lang w:val="en-US"/>
              </w:rPr>
            </w:pPr>
            <w:r>
              <w:rPr>
                <w:rFonts w:asciiTheme="majorHAnsi" w:hAnsiTheme="majorHAnsi" w:cs="Times-Roman"/>
                <w:sz w:val="22"/>
                <w:szCs w:val="22"/>
                <w:lang w:val="en-US"/>
              </w:rPr>
              <w:t xml:space="preserve">Subcutaneous for cattle or intramuscular for swine administration. </w:t>
            </w:r>
          </w:p>
          <w:p w:rsidR="00381560" w:rsidRDefault="00381560" w:rsidP="00E357C3">
            <w:pPr>
              <w:rPr>
                <w:rFonts w:asciiTheme="majorHAnsi" w:hAnsiTheme="majorHAnsi" w:cs="Times-Roman"/>
                <w:sz w:val="22"/>
                <w:szCs w:val="22"/>
                <w:lang w:val="en-US"/>
              </w:rPr>
            </w:pPr>
            <w:r>
              <w:rPr>
                <w:rFonts w:asciiTheme="majorHAnsi" w:hAnsiTheme="majorHAnsi" w:cs="Times-Roman"/>
                <w:sz w:val="22"/>
                <w:szCs w:val="22"/>
                <w:lang w:val="en-US"/>
              </w:rPr>
              <w:t>1mL per 40kg body weight per day for 3 days.</w:t>
            </w:r>
          </w:p>
          <w:p w:rsidR="00381560" w:rsidRPr="00061D9D" w:rsidRDefault="00381560" w:rsidP="00E357C3">
            <w:pPr>
              <w:rPr>
                <w:rFonts w:asciiTheme="majorHAnsi" w:hAnsiTheme="majorHAnsi" w:cs="Times-Roman"/>
                <w:sz w:val="22"/>
                <w:szCs w:val="22"/>
                <w:lang w:val="en-US"/>
              </w:rPr>
            </w:pPr>
            <w:r>
              <w:rPr>
                <w:rFonts w:asciiTheme="majorHAnsi" w:hAnsiTheme="majorHAnsi" w:cs="Times-Roman"/>
                <w:sz w:val="22"/>
                <w:szCs w:val="22"/>
                <w:lang w:val="en-US"/>
              </w:rPr>
              <w:t>In</w:t>
            </w:r>
            <w:r w:rsidR="000F22E1">
              <w:rPr>
                <w:rFonts w:asciiTheme="majorHAnsi" w:hAnsiTheme="majorHAnsi" w:cs="Times-Roman"/>
                <w:sz w:val="22"/>
                <w:szCs w:val="22"/>
                <w:lang w:val="en-US"/>
              </w:rPr>
              <w:t xml:space="preserve"> </w:t>
            </w:r>
            <w:r>
              <w:rPr>
                <w:rFonts w:asciiTheme="majorHAnsi" w:hAnsiTheme="majorHAnsi" w:cs="Times-Roman"/>
                <w:sz w:val="22"/>
                <w:szCs w:val="22"/>
                <w:lang w:val="en-US"/>
              </w:rPr>
              <w:t>sever</w:t>
            </w:r>
            <w:r w:rsidR="000F22E1">
              <w:rPr>
                <w:rFonts w:asciiTheme="majorHAnsi" w:hAnsiTheme="majorHAnsi" w:cs="Times-Roman"/>
                <w:sz w:val="22"/>
                <w:szCs w:val="22"/>
                <w:lang w:val="en-US"/>
              </w:rPr>
              <w:t>e</w:t>
            </w:r>
            <w:r>
              <w:rPr>
                <w:rFonts w:asciiTheme="majorHAnsi" w:hAnsiTheme="majorHAnsi" w:cs="Times-Roman"/>
                <w:sz w:val="22"/>
                <w:szCs w:val="22"/>
                <w:lang w:val="en-US"/>
              </w:rPr>
              <w:t xml:space="preserve"> cases of respiratory infection and salmonellosis: up to 2mL per 40kg body weight per day for 3 days (swine) or 5 days (cattle).</w:t>
            </w:r>
          </w:p>
        </w:tc>
        <w:tc>
          <w:tcPr>
            <w:tcW w:w="3212" w:type="dxa"/>
          </w:tcPr>
          <w:p w:rsidR="00381560" w:rsidRPr="00DF17EC" w:rsidRDefault="00381560" w:rsidP="006649DF">
            <w:pPr>
              <w:rPr>
                <w:rFonts w:cs="Times New Roman"/>
                <w:sz w:val="22"/>
                <w:szCs w:val="22"/>
              </w:rPr>
            </w:pPr>
            <w:r>
              <w:rPr>
                <w:rFonts w:cs="Times New Roman"/>
                <w:sz w:val="22"/>
                <w:szCs w:val="22"/>
              </w:rPr>
              <w:t xml:space="preserve">Hypersensitivity to quinolones, severe renal or hepatic impairment. </w:t>
            </w:r>
          </w:p>
        </w:tc>
        <w:tc>
          <w:tcPr>
            <w:tcW w:w="6066" w:type="dxa"/>
          </w:tcPr>
          <w:p w:rsidR="00381560" w:rsidRPr="00381560" w:rsidRDefault="00381560" w:rsidP="00381560">
            <w:pPr>
              <w:rPr>
                <w:rFonts w:asciiTheme="majorHAnsi" w:hAnsiTheme="majorHAnsi" w:cs="Times-Roman"/>
                <w:sz w:val="22"/>
                <w:szCs w:val="22"/>
              </w:rPr>
            </w:pPr>
            <w:r w:rsidRPr="00381560">
              <w:rPr>
                <w:rFonts w:asciiTheme="majorHAnsi" w:hAnsiTheme="majorHAnsi" w:cs="Times-Roman"/>
                <w:sz w:val="22"/>
                <w:szCs w:val="22"/>
              </w:rPr>
              <w:t>Enrofloxacin is a bactericidal agent. The bactericidal activity of enrofloxacin is</w:t>
            </w:r>
            <w:r w:rsidR="000F22E1">
              <w:rPr>
                <w:rFonts w:asciiTheme="majorHAnsi" w:hAnsiTheme="majorHAnsi" w:cs="Times-Roman"/>
                <w:sz w:val="22"/>
                <w:szCs w:val="22"/>
              </w:rPr>
              <w:t xml:space="preserve"> </w:t>
            </w:r>
            <w:r w:rsidRPr="00381560">
              <w:rPr>
                <w:rFonts w:asciiTheme="majorHAnsi" w:hAnsiTheme="majorHAnsi" w:cs="Times-Roman"/>
                <w:sz w:val="22"/>
                <w:szCs w:val="22"/>
              </w:rPr>
              <w:t>concentration dependent, with susceptible bacteria cell death occurring within 20-30 minutes of</w:t>
            </w:r>
            <w:r>
              <w:rPr>
                <w:rFonts w:asciiTheme="majorHAnsi" w:hAnsiTheme="majorHAnsi" w:cs="Times-Roman"/>
                <w:sz w:val="22"/>
                <w:szCs w:val="22"/>
              </w:rPr>
              <w:t xml:space="preserve"> </w:t>
            </w:r>
            <w:r w:rsidRPr="00381560">
              <w:rPr>
                <w:rFonts w:asciiTheme="majorHAnsi" w:hAnsiTheme="majorHAnsi" w:cs="Times-Roman"/>
                <w:sz w:val="22"/>
                <w:szCs w:val="22"/>
              </w:rPr>
              <w:t xml:space="preserve">exposure. Enrofloxacin has demonstrated a significant post-antibiotic effect for both gram </w:t>
            </w:r>
            <w:r>
              <w:rPr>
                <w:rFonts w:asciiTheme="majorHAnsi" w:hAnsiTheme="majorHAnsi" w:cs="Times-Roman"/>
                <w:sz w:val="22"/>
                <w:szCs w:val="22"/>
              </w:rPr>
              <w:t>–</w:t>
            </w:r>
            <w:r w:rsidRPr="00381560">
              <w:rPr>
                <w:rFonts w:asciiTheme="majorHAnsi" w:hAnsiTheme="majorHAnsi" w:cs="Times-Roman"/>
                <w:sz w:val="22"/>
                <w:szCs w:val="22"/>
              </w:rPr>
              <w:t xml:space="preserve"> and</w:t>
            </w:r>
            <w:r>
              <w:rPr>
                <w:rFonts w:asciiTheme="majorHAnsi" w:hAnsiTheme="majorHAnsi" w:cs="Times-Roman"/>
                <w:sz w:val="22"/>
                <w:szCs w:val="22"/>
              </w:rPr>
              <w:t xml:space="preserve"> </w:t>
            </w:r>
            <w:r w:rsidRPr="00381560">
              <w:rPr>
                <w:rFonts w:asciiTheme="majorHAnsi" w:hAnsiTheme="majorHAnsi" w:cs="Times-Roman"/>
                <w:sz w:val="22"/>
                <w:szCs w:val="22"/>
              </w:rPr>
              <w:t>+ bacteria and is active in both stationary and growth phases of bacterial replication.</w:t>
            </w:r>
          </w:p>
          <w:p w:rsidR="00381560" w:rsidRPr="00381560" w:rsidRDefault="00381560" w:rsidP="00381560">
            <w:pPr>
              <w:rPr>
                <w:rFonts w:asciiTheme="majorHAnsi" w:hAnsiTheme="majorHAnsi" w:cs="Times-Roman"/>
                <w:sz w:val="22"/>
                <w:szCs w:val="22"/>
              </w:rPr>
            </w:pPr>
            <w:r w:rsidRPr="00381560">
              <w:rPr>
                <w:rFonts w:asciiTheme="majorHAnsi" w:hAnsiTheme="majorHAnsi" w:cs="Times-Roman"/>
                <w:sz w:val="22"/>
                <w:szCs w:val="22"/>
              </w:rPr>
              <w:t>Its mechanism of action is not thoroughly understood, but it is believed to act by inhibiting</w:t>
            </w:r>
            <w:r w:rsidR="000F22E1">
              <w:rPr>
                <w:rFonts w:asciiTheme="majorHAnsi" w:hAnsiTheme="majorHAnsi" w:cs="Times-Roman"/>
                <w:sz w:val="22"/>
                <w:szCs w:val="22"/>
              </w:rPr>
              <w:t xml:space="preserve"> </w:t>
            </w:r>
            <w:r w:rsidRPr="00381560">
              <w:rPr>
                <w:rFonts w:asciiTheme="majorHAnsi" w:hAnsiTheme="majorHAnsi" w:cs="Times-Roman"/>
                <w:sz w:val="22"/>
                <w:szCs w:val="22"/>
              </w:rPr>
              <w:t>bacterial DNA-gyrase (a type-II topoisomerase), thereby preventing DNA supercoiling and DNA</w:t>
            </w:r>
            <w:r w:rsidR="000F22E1">
              <w:rPr>
                <w:rFonts w:asciiTheme="majorHAnsi" w:hAnsiTheme="majorHAnsi" w:cs="Times-Roman"/>
                <w:sz w:val="22"/>
                <w:szCs w:val="22"/>
              </w:rPr>
              <w:t xml:space="preserve"> </w:t>
            </w:r>
            <w:r w:rsidRPr="00381560">
              <w:rPr>
                <w:rFonts w:asciiTheme="majorHAnsi" w:hAnsiTheme="majorHAnsi" w:cs="Times-Roman"/>
                <w:sz w:val="22"/>
                <w:szCs w:val="22"/>
              </w:rPr>
              <w:t>synthesis.</w:t>
            </w:r>
          </w:p>
          <w:p w:rsidR="00381560" w:rsidRPr="00381560" w:rsidRDefault="00381560" w:rsidP="00381560">
            <w:pPr>
              <w:rPr>
                <w:rFonts w:asciiTheme="majorHAnsi" w:hAnsiTheme="majorHAnsi" w:cs="Times-Roman"/>
                <w:sz w:val="22"/>
                <w:szCs w:val="22"/>
              </w:rPr>
            </w:pPr>
            <w:r w:rsidRPr="00381560">
              <w:rPr>
                <w:rFonts w:asciiTheme="majorHAnsi" w:hAnsiTheme="majorHAnsi" w:cs="Times-Roman"/>
                <w:sz w:val="22"/>
                <w:szCs w:val="22"/>
              </w:rPr>
              <w:t>Both enrofloxacin and ciprofloxacin have similar spectrums of activity. These agents have good</w:t>
            </w:r>
            <w:r w:rsidR="000F22E1">
              <w:rPr>
                <w:rFonts w:asciiTheme="majorHAnsi" w:hAnsiTheme="majorHAnsi" w:cs="Times-Roman"/>
                <w:sz w:val="22"/>
                <w:szCs w:val="22"/>
              </w:rPr>
              <w:t xml:space="preserve"> </w:t>
            </w:r>
            <w:r w:rsidRPr="00381560">
              <w:rPr>
                <w:rFonts w:asciiTheme="majorHAnsi" w:hAnsiTheme="majorHAnsi" w:cs="Times-Roman"/>
                <w:sz w:val="22"/>
                <w:szCs w:val="22"/>
              </w:rPr>
              <w:t>activity against many gram negative bacilli and cocci, including most species and strains of</w:t>
            </w:r>
            <w:r w:rsidR="000F22E1">
              <w:rPr>
                <w:rFonts w:asciiTheme="majorHAnsi" w:hAnsiTheme="majorHAnsi" w:cs="Times-Roman"/>
                <w:sz w:val="22"/>
                <w:szCs w:val="22"/>
              </w:rPr>
              <w:t xml:space="preserve"> </w:t>
            </w:r>
            <w:r w:rsidRPr="00381560">
              <w:rPr>
                <w:rFonts w:asciiTheme="majorHAnsi" w:hAnsiTheme="majorHAnsi" w:cs="Times-Roman"/>
                <w:i/>
                <w:iCs/>
                <w:sz w:val="22"/>
                <w:szCs w:val="22"/>
              </w:rPr>
              <w:t>Pseudomonas aeruginosa</w:t>
            </w:r>
            <w:r w:rsidRPr="00381560">
              <w:rPr>
                <w:rFonts w:asciiTheme="majorHAnsi" w:hAnsiTheme="majorHAnsi" w:cs="Times-Roman"/>
                <w:sz w:val="22"/>
                <w:szCs w:val="22"/>
              </w:rPr>
              <w:t xml:space="preserve">, </w:t>
            </w:r>
            <w:r w:rsidRPr="00381560">
              <w:rPr>
                <w:rFonts w:asciiTheme="majorHAnsi" w:hAnsiTheme="majorHAnsi" w:cs="Times-Roman"/>
                <w:i/>
                <w:iCs/>
                <w:sz w:val="22"/>
                <w:szCs w:val="22"/>
              </w:rPr>
              <w:t xml:space="preserve">Klebsiella </w:t>
            </w:r>
            <w:r w:rsidRPr="00381560">
              <w:rPr>
                <w:rFonts w:asciiTheme="majorHAnsi" w:hAnsiTheme="majorHAnsi" w:cs="Times-Roman"/>
                <w:sz w:val="22"/>
                <w:szCs w:val="22"/>
              </w:rPr>
              <w:t xml:space="preserve">spp., </w:t>
            </w:r>
            <w:r w:rsidRPr="00381560">
              <w:rPr>
                <w:rFonts w:asciiTheme="majorHAnsi" w:hAnsiTheme="majorHAnsi" w:cs="Times-Roman"/>
                <w:i/>
                <w:iCs/>
                <w:sz w:val="22"/>
                <w:szCs w:val="22"/>
              </w:rPr>
              <w:t>E. coli</w:t>
            </w:r>
            <w:r w:rsidRPr="00381560">
              <w:rPr>
                <w:rFonts w:asciiTheme="majorHAnsi" w:hAnsiTheme="majorHAnsi" w:cs="Times-Roman"/>
                <w:sz w:val="22"/>
                <w:szCs w:val="22"/>
              </w:rPr>
              <w:t xml:space="preserve">, </w:t>
            </w:r>
            <w:r w:rsidRPr="00381560">
              <w:rPr>
                <w:rFonts w:asciiTheme="majorHAnsi" w:hAnsiTheme="majorHAnsi" w:cs="Times-Roman"/>
                <w:i/>
                <w:iCs/>
                <w:sz w:val="22"/>
                <w:szCs w:val="22"/>
              </w:rPr>
              <w:t>Enterobacter</w:t>
            </w:r>
            <w:r w:rsidRPr="00381560">
              <w:rPr>
                <w:rFonts w:asciiTheme="majorHAnsi" w:hAnsiTheme="majorHAnsi" w:cs="Times-Roman"/>
                <w:sz w:val="22"/>
                <w:szCs w:val="22"/>
              </w:rPr>
              <w:t xml:space="preserve">, </w:t>
            </w:r>
            <w:r w:rsidRPr="00381560">
              <w:rPr>
                <w:rFonts w:asciiTheme="majorHAnsi" w:hAnsiTheme="majorHAnsi" w:cs="Times-Roman"/>
                <w:i/>
                <w:iCs/>
                <w:sz w:val="22"/>
                <w:szCs w:val="22"/>
              </w:rPr>
              <w:t>Campylobacter</w:t>
            </w:r>
            <w:r w:rsidRPr="00381560">
              <w:rPr>
                <w:rFonts w:asciiTheme="majorHAnsi" w:hAnsiTheme="majorHAnsi" w:cs="Times-Roman"/>
                <w:sz w:val="22"/>
                <w:szCs w:val="22"/>
              </w:rPr>
              <w:t xml:space="preserve">, </w:t>
            </w:r>
            <w:r w:rsidRPr="00381560">
              <w:rPr>
                <w:rFonts w:asciiTheme="majorHAnsi" w:hAnsiTheme="majorHAnsi" w:cs="Times-Roman"/>
                <w:i/>
                <w:iCs/>
                <w:sz w:val="22"/>
                <w:szCs w:val="22"/>
              </w:rPr>
              <w:t>Shigella</w:t>
            </w:r>
            <w:r w:rsidRPr="00381560">
              <w:rPr>
                <w:rFonts w:asciiTheme="majorHAnsi" w:hAnsiTheme="majorHAnsi" w:cs="Times-Roman"/>
                <w:sz w:val="22"/>
                <w:szCs w:val="22"/>
              </w:rPr>
              <w:t>,</w:t>
            </w:r>
            <w:r w:rsidR="000F22E1">
              <w:rPr>
                <w:rFonts w:asciiTheme="majorHAnsi" w:hAnsiTheme="majorHAnsi" w:cs="Times-Roman"/>
                <w:sz w:val="22"/>
                <w:szCs w:val="22"/>
              </w:rPr>
              <w:t xml:space="preserve"> </w:t>
            </w:r>
            <w:bookmarkStart w:id="0" w:name="_GoBack"/>
            <w:bookmarkEnd w:id="0"/>
            <w:r w:rsidRPr="00381560">
              <w:rPr>
                <w:rFonts w:asciiTheme="majorHAnsi" w:hAnsiTheme="majorHAnsi" w:cs="Times-Roman"/>
                <w:i/>
                <w:iCs/>
                <w:sz w:val="22"/>
                <w:szCs w:val="22"/>
              </w:rPr>
              <w:t>Salmonella</w:t>
            </w:r>
            <w:r w:rsidRPr="00381560">
              <w:rPr>
                <w:rFonts w:asciiTheme="majorHAnsi" w:hAnsiTheme="majorHAnsi" w:cs="Times-Roman"/>
                <w:sz w:val="22"/>
                <w:szCs w:val="22"/>
              </w:rPr>
              <w:t xml:space="preserve">, </w:t>
            </w:r>
            <w:r w:rsidRPr="00381560">
              <w:rPr>
                <w:rFonts w:asciiTheme="majorHAnsi" w:hAnsiTheme="majorHAnsi" w:cs="Times-Roman"/>
                <w:i/>
                <w:iCs/>
                <w:sz w:val="22"/>
                <w:szCs w:val="22"/>
              </w:rPr>
              <w:t>Aeromonas</w:t>
            </w:r>
            <w:r w:rsidRPr="00381560">
              <w:rPr>
                <w:rFonts w:asciiTheme="majorHAnsi" w:hAnsiTheme="majorHAnsi" w:cs="Times-Roman"/>
                <w:sz w:val="22"/>
                <w:szCs w:val="22"/>
              </w:rPr>
              <w:t xml:space="preserve">, </w:t>
            </w:r>
            <w:r w:rsidRPr="00381560">
              <w:rPr>
                <w:rFonts w:asciiTheme="majorHAnsi" w:hAnsiTheme="majorHAnsi" w:cs="Times-Roman"/>
                <w:i/>
                <w:iCs/>
                <w:sz w:val="22"/>
                <w:szCs w:val="22"/>
              </w:rPr>
              <w:t>Haemophilus</w:t>
            </w:r>
            <w:r w:rsidRPr="00381560">
              <w:rPr>
                <w:rFonts w:asciiTheme="majorHAnsi" w:hAnsiTheme="majorHAnsi" w:cs="Times-Roman"/>
                <w:sz w:val="22"/>
                <w:szCs w:val="22"/>
              </w:rPr>
              <w:t xml:space="preserve">, </w:t>
            </w:r>
            <w:r w:rsidRPr="00381560">
              <w:rPr>
                <w:rFonts w:asciiTheme="majorHAnsi" w:hAnsiTheme="majorHAnsi" w:cs="Times-Roman"/>
                <w:i/>
                <w:iCs/>
                <w:sz w:val="22"/>
                <w:szCs w:val="22"/>
              </w:rPr>
              <w:t>Proteus</w:t>
            </w:r>
            <w:r w:rsidRPr="00381560">
              <w:rPr>
                <w:rFonts w:asciiTheme="majorHAnsi" w:hAnsiTheme="majorHAnsi" w:cs="Times-Roman"/>
                <w:sz w:val="22"/>
                <w:szCs w:val="22"/>
              </w:rPr>
              <w:t xml:space="preserve">, </w:t>
            </w:r>
            <w:r w:rsidRPr="00381560">
              <w:rPr>
                <w:rFonts w:asciiTheme="majorHAnsi" w:hAnsiTheme="majorHAnsi" w:cs="Times-Roman"/>
                <w:i/>
                <w:iCs/>
                <w:sz w:val="22"/>
                <w:szCs w:val="22"/>
              </w:rPr>
              <w:t>Yersinia</w:t>
            </w:r>
            <w:r w:rsidRPr="00381560">
              <w:rPr>
                <w:rFonts w:asciiTheme="majorHAnsi" w:hAnsiTheme="majorHAnsi" w:cs="Times-Roman"/>
                <w:sz w:val="22"/>
                <w:szCs w:val="22"/>
              </w:rPr>
              <w:t xml:space="preserve">, </w:t>
            </w:r>
            <w:r w:rsidRPr="00381560">
              <w:rPr>
                <w:rFonts w:asciiTheme="majorHAnsi" w:hAnsiTheme="majorHAnsi" w:cs="Times-Roman"/>
                <w:i/>
                <w:iCs/>
                <w:sz w:val="22"/>
                <w:szCs w:val="22"/>
              </w:rPr>
              <w:t>Serratia</w:t>
            </w:r>
            <w:r w:rsidRPr="00381560">
              <w:rPr>
                <w:rFonts w:asciiTheme="majorHAnsi" w:hAnsiTheme="majorHAnsi" w:cs="Times-Roman"/>
                <w:sz w:val="22"/>
                <w:szCs w:val="22"/>
              </w:rPr>
              <w:t xml:space="preserve">, and </w:t>
            </w:r>
            <w:r w:rsidRPr="00381560">
              <w:rPr>
                <w:rFonts w:asciiTheme="majorHAnsi" w:hAnsiTheme="majorHAnsi" w:cs="Times-Roman"/>
                <w:i/>
                <w:iCs/>
                <w:sz w:val="22"/>
                <w:szCs w:val="22"/>
              </w:rPr>
              <w:t xml:space="preserve">Vibrio </w:t>
            </w:r>
            <w:r w:rsidRPr="00381560">
              <w:rPr>
                <w:rFonts w:asciiTheme="majorHAnsi" w:hAnsiTheme="majorHAnsi" w:cs="Times-Roman"/>
                <w:sz w:val="22"/>
                <w:szCs w:val="22"/>
              </w:rPr>
              <w:t>species. Of the</w:t>
            </w:r>
            <w:r w:rsidR="000F22E1">
              <w:rPr>
                <w:rFonts w:asciiTheme="majorHAnsi" w:hAnsiTheme="majorHAnsi" w:cs="Times-Roman"/>
                <w:sz w:val="22"/>
                <w:szCs w:val="22"/>
              </w:rPr>
              <w:t xml:space="preserve"> </w:t>
            </w:r>
            <w:r w:rsidRPr="00381560">
              <w:rPr>
                <w:rFonts w:asciiTheme="majorHAnsi" w:hAnsiTheme="majorHAnsi" w:cs="Times-Roman"/>
                <w:sz w:val="22"/>
                <w:szCs w:val="22"/>
              </w:rPr>
              <w:t>currently commercially available quinolones, ciprofloxacin and enrofloxacin have the lowest</w:t>
            </w:r>
            <w:r w:rsidR="000F22E1">
              <w:rPr>
                <w:rFonts w:asciiTheme="majorHAnsi" w:hAnsiTheme="majorHAnsi" w:cs="Times-Roman"/>
                <w:sz w:val="22"/>
                <w:szCs w:val="22"/>
              </w:rPr>
              <w:t xml:space="preserve"> </w:t>
            </w:r>
            <w:r w:rsidRPr="00381560">
              <w:rPr>
                <w:rFonts w:asciiTheme="majorHAnsi" w:hAnsiTheme="majorHAnsi" w:cs="Times-Roman"/>
                <w:sz w:val="22"/>
                <w:szCs w:val="22"/>
              </w:rPr>
              <w:t>MIC values for the majority of these pathogens treated. Other organisms that are generally</w:t>
            </w:r>
            <w:r w:rsidR="000F22E1">
              <w:rPr>
                <w:rFonts w:asciiTheme="majorHAnsi" w:hAnsiTheme="majorHAnsi" w:cs="Times-Roman"/>
                <w:sz w:val="22"/>
                <w:szCs w:val="22"/>
              </w:rPr>
              <w:t xml:space="preserve"> </w:t>
            </w:r>
            <w:r w:rsidRPr="00381560">
              <w:rPr>
                <w:rFonts w:asciiTheme="majorHAnsi" w:hAnsiTheme="majorHAnsi" w:cs="Times-Roman"/>
                <w:sz w:val="22"/>
                <w:szCs w:val="22"/>
              </w:rPr>
              <w:t xml:space="preserve">susceptible include </w:t>
            </w:r>
            <w:r w:rsidRPr="00381560">
              <w:rPr>
                <w:rFonts w:asciiTheme="majorHAnsi" w:hAnsiTheme="majorHAnsi" w:cs="Times-Roman"/>
                <w:i/>
                <w:iCs/>
                <w:sz w:val="22"/>
                <w:szCs w:val="22"/>
              </w:rPr>
              <w:t>Brucella sp</w:t>
            </w:r>
            <w:r w:rsidRPr="00381560">
              <w:rPr>
                <w:rFonts w:asciiTheme="majorHAnsi" w:hAnsiTheme="majorHAnsi" w:cs="Times-Roman"/>
                <w:sz w:val="22"/>
                <w:szCs w:val="22"/>
              </w:rPr>
              <w:t xml:space="preserve">, </w:t>
            </w:r>
            <w:r w:rsidRPr="00381560">
              <w:rPr>
                <w:rFonts w:asciiTheme="majorHAnsi" w:hAnsiTheme="majorHAnsi" w:cs="Times-Roman"/>
                <w:i/>
                <w:iCs/>
                <w:sz w:val="22"/>
                <w:szCs w:val="22"/>
              </w:rPr>
              <w:t>Chlamydia trachomatis</w:t>
            </w:r>
            <w:r w:rsidRPr="00381560">
              <w:rPr>
                <w:rFonts w:asciiTheme="majorHAnsi" w:hAnsiTheme="majorHAnsi" w:cs="Times-Roman"/>
                <w:sz w:val="22"/>
                <w:szCs w:val="22"/>
              </w:rPr>
              <w:t xml:space="preserve">, </w:t>
            </w:r>
            <w:r w:rsidRPr="00381560">
              <w:rPr>
                <w:rFonts w:asciiTheme="majorHAnsi" w:hAnsiTheme="majorHAnsi" w:cs="Times-Roman"/>
                <w:i/>
                <w:iCs/>
                <w:sz w:val="22"/>
                <w:szCs w:val="22"/>
              </w:rPr>
              <w:t xml:space="preserve">Staphylococci </w:t>
            </w:r>
            <w:r w:rsidRPr="00381560">
              <w:rPr>
                <w:rFonts w:asciiTheme="majorHAnsi" w:hAnsiTheme="majorHAnsi" w:cs="Times-Roman"/>
                <w:sz w:val="22"/>
                <w:szCs w:val="22"/>
              </w:rPr>
              <w:t>(including penicillinase</w:t>
            </w:r>
            <w:r>
              <w:rPr>
                <w:rFonts w:asciiTheme="majorHAnsi" w:hAnsiTheme="majorHAnsi" w:cs="Times-Roman"/>
                <w:sz w:val="22"/>
                <w:szCs w:val="22"/>
              </w:rPr>
              <w:t xml:space="preserve"> </w:t>
            </w:r>
            <w:r w:rsidRPr="00381560">
              <w:rPr>
                <w:rFonts w:asciiTheme="majorHAnsi" w:hAnsiTheme="majorHAnsi" w:cs="Times-Roman"/>
                <w:sz w:val="22"/>
                <w:szCs w:val="22"/>
              </w:rPr>
              <w:t>producing</w:t>
            </w:r>
            <w:r>
              <w:rPr>
                <w:rFonts w:asciiTheme="majorHAnsi" w:hAnsiTheme="majorHAnsi" w:cs="Times-Roman"/>
                <w:sz w:val="22"/>
                <w:szCs w:val="22"/>
              </w:rPr>
              <w:t xml:space="preserve"> </w:t>
            </w:r>
            <w:r w:rsidRPr="00381560">
              <w:rPr>
                <w:rFonts w:asciiTheme="majorHAnsi" w:hAnsiTheme="majorHAnsi" w:cs="Times-Roman"/>
                <w:sz w:val="22"/>
                <w:szCs w:val="22"/>
              </w:rPr>
              <w:t xml:space="preserve">and methicillin-resistant strains), Mycoplasma, and </w:t>
            </w:r>
            <w:r w:rsidRPr="00381560">
              <w:rPr>
                <w:rFonts w:asciiTheme="majorHAnsi" w:hAnsiTheme="majorHAnsi" w:cs="Times-Roman"/>
                <w:i/>
                <w:iCs/>
                <w:sz w:val="22"/>
                <w:szCs w:val="22"/>
              </w:rPr>
              <w:t>Mycobacterium sp</w:t>
            </w:r>
            <w:r w:rsidRPr="00381560">
              <w:rPr>
                <w:rFonts w:asciiTheme="majorHAnsi" w:hAnsiTheme="majorHAnsi" w:cs="Times-Roman"/>
                <w:sz w:val="22"/>
                <w:szCs w:val="22"/>
              </w:rPr>
              <w:t>. (not the</w:t>
            </w:r>
            <w:r>
              <w:rPr>
                <w:rFonts w:asciiTheme="majorHAnsi" w:hAnsiTheme="majorHAnsi" w:cs="Times-Roman"/>
                <w:sz w:val="22"/>
                <w:szCs w:val="22"/>
              </w:rPr>
              <w:t xml:space="preserve"> </w:t>
            </w:r>
            <w:r w:rsidRPr="00381560">
              <w:rPr>
                <w:rFonts w:asciiTheme="majorHAnsi" w:hAnsiTheme="majorHAnsi" w:cs="Times-Roman"/>
                <w:sz w:val="22"/>
                <w:szCs w:val="22"/>
              </w:rPr>
              <w:t>etiologic agent for Johne’s Disease).</w:t>
            </w:r>
          </w:p>
          <w:p w:rsidR="00381560" w:rsidRPr="00381560" w:rsidRDefault="00381560" w:rsidP="00381560">
            <w:pPr>
              <w:rPr>
                <w:rFonts w:asciiTheme="majorHAnsi" w:hAnsiTheme="majorHAnsi" w:cs="Times-Roman"/>
                <w:sz w:val="22"/>
                <w:szCs w:val="22"/>
              </w:rPr>
            </w:pPr>
            <w:r w:rsidRPr="00381560">
              <w:rPr>
                <w:rFonts w:asciiTheme="majorHAnsi" w:hAnsiTheme="majorHAnsi" w:cs="Times-Roman"/>
                <w:sz w:val="22"/>
                <w:szCs w:val="22"/>
              </w:rPr>
              <w:t xml:space="preserve">The fluoroquinolones have variable activity against most </w:t>
            </w:r>
            <w:r w:rsidRPr="00381560">
              <w:rPr>
                <w:rFonts w:asciiTheme="majorHAnsi" w:hAnsiTheme="majorHAnsi" w:cs="Times-Roman"/>
                <w:i/>
                <w:iCs/>
                <w:sz w:val="22"/>
                <w:szCs w:val="22"/>
              </w:rPr>
              <w:t xml:space="preserve">Streptococci </w:t>
            </w:r>
            <w:r w:rsidRPr="00381560">
              <w:rPr>
                <w:rFonts w:asciiTheme="majorHAnsi" w:hAnsiTheme="majorHAnsi" w:cs="Times-Roman"/>
                <w:sz w:val="22"/>
                <w:szCs w:val="22"/>
              </w:rPr>
              <w:t>and are not usually</w:t>
            </w:r>
            <w:r w:rsidR="000F22E1">
              <w:rPr>
                <w:rFonts w:asciiTheme="majorHAnsi" w:hAnsiTheme="majorHAnsi" w:cs="Times-Roman"/>
                <w:sz w:val="22"/>
                <w:szCs w:val="22"/>
              </w:rPr>
              <w:t xml:space="preserve"> </w:t>
            </w:r>
            <w:r w:rsidRPr="00381560">
              <w:rPr>
                <w:rFonts w:asciiTheme="majorHAnsi" w:hAnsiTheme="majorHAnsi" w:cs="Times-Roman"/>
                <w:sz w:val="22"/>
                <w:szCs w:val="22"/>
              </w:rPr>
              <w:t>recommended to be used for these infections. These drugs have weak activity against most</w:t>
            </w:r>
          </w:p>
          <w:p w:rsidR="00381560" w:rsidRPr="00381560" w:rsidRDefault="00381560" w:rsidP="00381560">
            <w:pPr>
              <w:rPr>
                <w:rFonts w:asciiTheme="majorHAnsi" w:hAnsiTheme="majorHAnsi" w:cs="Times-Roman"/>
                <w:sz w:val="22"/>
                <w:szCs w:val="22"/>
              </w:rPr>
            </w:pPr>
            <w:r w:rsidRPr="00381560">
              <w:rPr>
                <w:rFonts w:asciiTheme="majorHAnsi" w:hAnsiTheme="majorHAnsi" w:cs="Times-Roman"/>
                <w:sz w:val="22"/>
                <w:szCs w:val="22"/>
              </w:rPr>
              <w:t>anaerobes and are ineffective in treating anaerobic infections.</w:t>
            </w:r>
          </w:p>
          <w:p w:rsidR="00381560" w:rsidRPr="00061D9D" w:rsidRDefault="00381560" w:rsidP="000F22E1">
            <w:pPr>
              <w:rPr>
                <w:rFonts w:asciiTheme="majorHAnsi" w:hAnsiTheme="majorHAnsi" w:cs="Times-Roman"/>
                <w:sz w:val="22"/>
                <w:szCs w:val="22"/>
                <w:lang w:val="en-US"/>
              </w:rPr>
            </w:pPr>
            <w:r w:rsidRPr="00381560">
              <w:rPr>
                <w:rFonts w:asciiTheme="majorHAnsi" w:hAnsiTheme="majorHAnsi" w:cs="Times-Roman"/>
                <w:sz w:val="22"/>
                <w:szCs w:val="22"/>
              </w:rPr>
              <w:t xml:space="preserve">Resistance does occur by mutation, particularly with </w:t>
            </w:r>
            <w:r w:rsidRPr="00381560">
              <w:rPr>
                <w:rFonts w:asciiTheme="majorHAnsi" w:hAnsiTheme="majorHAnsi" w:cs="Times-Roman"/>
                <w:i/>
                <w:iCs/>
                <w:sz w:val="22"/>
                <w:szCs w:val="22"/>
              </w:rPr>
              <w:t>Pseudomonas aeruginosa</w:t>
            </w:r>
            <w:r w:rsidRPr="00381560">
              <w:rPr>
                <w:rFonts w:asciiTheme="majorHAnsi" w:hAnsiTheme="majorHAnsi" w:cs="Times-Roman"/>
                <w:sz w:val="22"/>
                <w:szCs w:val="22"/>
              </w:rPr>
              <w:t xml:space="preserve">, </w:t>
            </w:r>
            <w:r w:rsidRPr="00381560">
              <w:rPr>
                <w:rFonts w:asciiTheme="majorHAnsi" w:hAnsiTheme="majorHAnsi" w:cs="Times-Roman"/>
                <w:i/>
                <w:iCs/>
                <w:sz w:val="22"/>
                <w:szCs w:val="22"/>
              </w:rPr>
              <w:t>Klebsiella</w:t>
            </w:r>
            <w:r w:rsidR="000F22E1">
              <w:rPr>
                <w:rFonts w:asciiTheme="majorHAnsi" w:hAnsiTheme="majorHAnsi" w:cs="Times-Roman"/>
                <w:i/>
                <w:iCs/>
                <w:sz w:val="22"/>
                <w:szCs w:val="22"/>
              </w:rPr>
              <w:t xml:space="preserve"> </w:t>
            </w:r>
            <w:r w:rsidRPr="00381560">
              <w:rPr>
                <w:rFonts w:asciiTheme="majorHAnsi" w:hAnsiTheme="majorHAnsi" w:cs="Times-Roman"/>
                <w:i/>
                <w:iCs/>
                <w:sz w:val="22"/>
                <w:szCs w:val="22"/>
              </w:rPr>
              <w:t>pneumonia</w:t>
            </w:r>
            <w:r w:rsidRPr="00381560">
              <w:rPr>
                <w:rFonts w:asciiTheme="majorHAnsi" w:hAnsiTheme="majorHAnsi" w:cs="Times-Roman"/>
                <w:sz w:val="22"/>
                <w:szCs w:val="22"/>
              </w:rPr>
              <w:t xml:space="preserve">, </w:t>
            </w:r>
            <w:r w:rsidRPr="00381560">
              <w:rPr>
                <w:rFonts w:asciiTheme="majorHAnsi" w:hAnsiTheme="majorHAnsi" w:cs="Times-Roman"/>
                <w:i/>
                <w:iCs/>
                <w:sz w:val="22"/>
                <w:szCs w:val="22"/>
              </w:rPr>
              <w:t xml:space="preserve">Acinetobacter </w:t>
            </w:r>
            <w:r w:rsidRPr="00381560">
              <w:rPr>
                <w:rFonts w:asciiTheme="majorHAnsi" w:hAnsiTheme="majorHAnsi" w:cs="Times-Roman"/>
                <w:sz w:val="22"/>
                <w:szCs w:val="22"/>
              </w:rPr>
              <w:t>and enterococci, but plasmid-mediated resistance is not thought to</w:t>
            </w:r>
            <w:r w:rsidR="000F22E1">
              <w:rPr>
                <w:rFonts w:asciiTheme="majorHAnsi" w:hAnsiTheme="majorHAnsi" w:cs="Times-Roman"/>
                <w:sz w:val="22"/>
                <w:szCs w:val="22"/>
              </w:rPr>
              <w:t xml:space="preserve"> </w:t>
            </w:r>
            <w:r w:rsidRPr="00381560">
              <w:rPr>
                <w:rFonts w:asciiTheme="majorHAnsi" w:hAnsiTheme="majorHAnsi" w:cs="Times-Roman"/>
                <w:sz w:val="22"/>
                <w:szCs w:val="22"/>
              </w:rPr>
              <w:t>occur.</w:t>
            </w:r>
          </w:p>
        </w:tc>
      </w:tr>
    </w:tbl>
    <w:p w:rsidR="00105717" w:rsidRPr="006F6D5E" w:rsidRDefault="00BD3499" w:rsidP="00BD3499">
      <w:pPr>
        <w:tabs>
          <w:tab w:val="left" w:pos="1976"/>
        </w:tabs>
        <w:rPr>
          <w:rFonts w:asciiTheme="majorHAnsi" w:hAnsiTheme="majorHAnsi"/>
          <w:sz w:val="22"/>
          <w:szCs w:val="22"/>
        </w:rPr>
      </w:pPr>
      <w:r>
        <w:rPr>
          <w:rFonts w:asciiTheme="majorHAnsi" w:hAnsiTheme="majorHAnsi"/>
          <w:sz w:val="22"/>
          <w:szCs w:val="22"/>
        </w:rPr>
        <w:tab/>
      </w:r>
    </w:p>
    <w:sectPr w:rsidR="00105717" w:rsidRPr="006F6D5E" w:rsidSect="001E569D">
      <w:pgSz w:w="20160" w:h="12240" w:orient="landscape" w:code="5"/>
      <w:pgMar w:top="36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02D" w:rsidRDefault="004C102D" w:rsidP="001E569D">
      <w:pPr>
        <w:spacing w:after="0" w:line="240" w:lineRule="auto"/>
      </w:pPr>
      <w:r>
        <w:separator/>
      </w:r>
    </w:p>
  </w:endnote>
  <w:endnote w:type="continuationSeparator" w:id="0">
    <w:p w:rsidR="004C102D" w:rsidRDefault="004C102D" w:rsidP="001E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02D" w:rsidRDefault="004C102D" w:rsidP="001E569D">
      <w:pPr>
        <w:spacing w:after="0" w:line="240" w:lineRule="auto"/>
      </w:pPr>
      <w:r>
        <w:separator/>
      </w:r>
    </w:p>
  </w:footnote>
  <w:footnote w:type="continuationSeparator" w:id="0">
    <w:p w:rsidR="004C102D" w:rsidRDefault="004C102D" w:rsidP="001E5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339FD"/>
    <w:multiLevelType w:val="hybridMultilevel"/>
    <w:tmpl w:val="DD72E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936F2"/>
    <w:multiLevelType w:val="hybridMultilevel"/>
    <w:tmpl w:val="BEB84560"/>
    <w:lvl w:ilvl="0" w:tplc="DA964DD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51616"/>
    <w:multiLevelType w:val="hybridMultilevel"/>
    <w:tmpl w:val="9C26F350"/>
    <w:lvl w:ilvl="0" w:tplc="74848CD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4326E"/>
    <w:multiLevelType w:val="hybridMultilevel"/>
    <w:tmpl w:val="86EEB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D1"/>
    <w:rsid w:val="00020761"/>
    <w:rsid w:val="00061D9D"/>
    <w:rsid w:val="000664D1"/>
    <w:rsid w:val="000F22E1"/>
    <w:rsid w:val="00105717"/>
    <w:rsid w:val="001840FE"/>
    <w:rsid w:val="001E0472"/>
    <w:rsid w:val="001E569D"/>
    <w:rsid w:val="0033317B"/>
    <w:rsid w:val="003371F1"/>
    <w:rsid w:val="00381560"/>
    <w:rsid w:val="00483145"/>
    <w:rsid w:val="004C102D"/>
    <w:rsid w:val="005A194B"/>
    <w:rsid w:val="00614BE3"/>
    <w:rsid w:val="006649DF"/>
    <w:rsid w:val="006650DF"/>
    <w:rsid w:val="006D0689"/>
    <w:rsid w:val="006F6D5E"/>
    <w:rsid w:val="007D44F1"/>
    <w:rsid w:val="00882DD1"/>
    <w:rsid w:val="00892D2F"/>
    <w:rsid w:val="008C0252"/>
    <w:rsid w:val="009071E2"/>
    <w:rsid w:val="0093134A"/>
    <w:rsid w:val="00970CAA"/>
    <w:rsid w:val="00A808A0"/>
    <w:rsid w:val="00A87D9F"/>
    <w:rsid w:val="00AD7CE2"/>
    <w:rsid w:val="00B31DA8"/>
    <w:rsid w:val="00BC3B5F"/>
    <w:rsid w:val="00BD3499"/>
    <w:rsid w:val="00C476D1"/>
    <w:rsid w:val="00C65D35"/>
    <w:rsid w:val="00E357C3"/>
    <w:rsid w:val="00ED0441"/>
    <w:rsid w:val="00EF14B5"/>
    <w:rsid w:val="00F64EA4"/>
    <w:rsid w:val="00FD5C20"/>
    <w:rsid w:val="00FE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53EF"/>
  <w15:docId w15:val="{38EF5C97-DE63-473E-8708-EEBDAFD2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441"/>
    <w:rPr>
      <w:lang w:val="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DD1"/>
    <w:rPr>
      <w:rFonts w:ascii="Tahoma" w:hAnsi="Tahoma" w:cs="Tahoma"/>
      <w:sz w:val="16"/>
      <w:szCs w:val="16"/>
      <w:lang w:val="en-TT"/>
    </w:rPr>
  </w:style>
  <w:style w:type="paragraph" w:styleId="NormalWeb">
    <w:name w:val="Normal (Web)"/>
    <w:basedOn w:val="Normal"/>
    <w:uiPriority w:val="99"/>
    <w:unhideWhenUsed/>
    <w:rsid w:val="00882DD1"/>
    <w:pPr>
      <w:spacing w:before="100" w:beforeAutospacing="1" w:after="100" w:afterAutospacing="1" w:line="240" w:lineRule="auto"/>
    </w:pPr>
    <w:rPr>
      <w:rFonts w:ascii="Times New Roman" w:eastAsia="Times New Roman" w:hAnsi="Times New Roman" w:cs="Times New Roman"/>
      <w:lang w:val="en-US"/>
    </w:rPr>
  </w:style>
  <w:style w:type="paragraph" w:styleId="Header">
    <w:name w:val="header"/>
    <w:basedOn w:val="Normal"/>
    <w:link w:val="HeaderChar"/>
    <w:uiPriority w:val="99"/>
    <w:semiHidden/>
    <w:unhideWhenUsed/>
    <w:rsid w:val="001E5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569D"/>
    <w:rPr>
      <w:lang w:val="en-TT"/>
    </w:rPr>
  </w:style>
  <w:style w:type="paragraph" w:styleId="Footer">
    <w:name w:val="footer"/>
    <w:basedOn w:val="Normal"/>
    <w:link w:val="FooterChar"/>
    <w:uiPriority w:val="99"/>
    <w:semiHidden/>
    <w:unhideWhenUsed/>
    <w:rsid w:val="001E56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569D"/>
    <w:rPr>
      <w:lang w:val="en-TT"/>
    </w:rPr>
  </w:style>
  <w:style w:type="paragraph" w:styleId="ListParagraph">
    <w:name w:val="List Paragraph"/>
    <w:basedOn w:val="Normal"/>
    <w:uiPriority w:val="34"/>
    <w:qFormat/>
    <w:rsid w:val="006F6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 Maharaj</dc:creator>
  <cp:lastModifiedBy>Krystal Maharaj</cp:lastModifiedBy>
  <cp:revision>4</cp:revision>
  <dcterms:created xsi:type="dcterms:W3CDTF">2018-09-08T01:15:00Z</dcterms:created>
  <dcterms:modified xsi:type="dcterms:W3CDTF">2018-09-08T05:56:00Z</dcterms:modified>
</cp:coreProperties>
</file>