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42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50"/>
        <w:gridCol w:w="1241"/>
        <w:gridCol w:w="2210"/>
        <w:gridCol w:w="1819"/>
        <w:gridCol w:w="1866"/>
        <w:gridCol w:w="1701"/>
        <w:gridCol w:w="4111"/>
        <w:gridCol w:w="3728"/>
      </w:tblGrid>
      <w:tr w:rsidR="001E569D" w:rsidRPr="004E7B26" w:rsidTr="004E0087">
        <w:trPr>
          <w:trHeight w:val="663"/>
        </w:trPr>
        <w:tc>
          <w:tcPr>
            <w:tcW w:w="2750" w:type="dxa"/>
          </w:tcPr>
          <w:p w:rsidR="001E569D" w:rsidRPr="004E7B26" w:rsidRDefault="001E569D" w:rsidP="00DA75AC">
            <w:pPr>
              <w:rPr>
                <w:rFonts w:asciiTheme="majorHAnsi" w:hAnsiTheme="majorHAnsi"/>
                <w:b/>
              </w:rPr>
            </w:pPr>
            <w:r w:rsidRPr="004E7B26">
              <w:rPr>
                <w:rFonts w:asciiTheme="majorHAnsi" w:hAnsiTheme="majorHAnsi"/>
                <w:b/>
              </w:rPr>
              <w:t>Drug</w:t>
            </w:r>
          </w:p>
        </w:tc>
        <w:tc>
          <w:tcPr>
            <w:tcW w:w="1241" w:type="dxa"/>
          </w:tcPr>
          <w:p w:rsidR="001E569D" w:rsidRPr="004E7B26" w:rsidRDefault="001E569D" w:rsidP="00DA75AC">
            <w:pPr>
              <w:rPr>
                <w:rFonts w:asciiTheme="majorHAnsi" w:hAnsiTheme="majorHAnsi"/>
                <w:b/>
              </w:rPr>
            </w:pPr>
            <w:r w:rsidRPr="004E7B26">
              <w:rPr>
                <w:rFonts w:asciiTheme="majorHAnsi" w:hAnsiTheme="majorHAnsi"/>
                <w:b/>
              </w:rPr>
              <w:t>Species</w:t>
            </w:r>
          </w:p>
        </w:tc>
        <w:tc>
          <w:tcPr>
            <w:tcW w:w="2210" w:type="dxa"/>
          </w:tcPr>
          <w:p w:rsidR="001E569D" w:rsidRPr="004E7B26" w:rsidRDefault="001E569D" w:rsidP="00DA75AC">
            <w:pPr>
              <w:rPr>
                <w:rFonts w:asciiTheme="majorHAnsi" w:hAnsiTheme="majorHAnsi"/>
                <w:b/>
              </w:rPr>
            </w:pPr>
            <w:r w:rsidRPr="004E7B26">
              <w:rPr>
                <w:rFonts w:asciiTheme="majorHAnsi" w:hAnsiTheme="majorHAnsi"/>
                <w:b/>
              </w:rPr>
              <w:t>Indications</w:t>
            </w:r>
          </w:p>
        </w:tc>
        <w:tc>
          <w:tcPr>
            <w:tcW w:w="1819" w:type="dxa"/>
          </w:tcPr>
          <w:p w:rsidR="001E569D" w:rsidRPr="004E7B26" w:rsidRDefault="001E569D" w:rsidP="00DA75AC">
            <w:pPr>
              <w:rPr>
                <w:rFonts w:asciiTheme="majorHAnsi" w:hAnsiTheme="majorHAnsi"/>
                <w:b/>
              </w:rPr>
            </w:pPr>
            <w:r w:rsidRPr="004E7B26">
              <w:rPr>
                <w:rFonts w:asciiTheme="majorHAnsi" w:hAnsiTheme="majorHAnsi"/>
                <w:b/>
              </w:rPr>
              <w:t>Therapeutic Dose</w:t>
            </w:r>
          </w:p>
        </w:tc>
        <w:tc>
          <w:tcPr>
            <w:tcW w:w="1866" w:type="dxa"/>
          </w:tcPr>
          <w:p w:rsidR="001E569D" w:rsidRPr="004E7B26" w:rsidRDefault="001E569D" w:rsidP="00DA75AC">
            <w:pPr>
              <w:rPr>
                <w:rFonts w:asciiTheme="majorHAnsi" w:hAnsiTheme="majorHAnsi"/>
                <w:b/>
              </w:rPr>
            </w:pPr>
            <w:r w:rsidRPr="004E7B26">
              <w:rPr>
                <w:rFonts w:asciiTheme="majorHAnsi" w:hAnsiTheme="majorHAnsi"/>
                <w:b/>
              </w:rPr>
              <w:t>Lethal Dose/ Toxicity</w:t>
            </w:r>
          </w:p>
        </w:tc>
        <w:tc>
          <w:tcPr>
            <w:tcW w:w="1701" w:type="dxa"/>
          </w:tcPr>
          <w:p w:rsidR="001E569D" w:rsidRPr="004E7B26" w:rsidRDefault="001E569D" w:rsidP="00DA75AC">
            <w:pPr>
              <w:rPr>
                <w:rFonts w:asciiTheme="majorHAnsi" w:hAnsiTheme="majorHAnsi"/>
                <w:b/>
              </w:rPr>
            </w:pPr>
            <w:r w:rsidRPr="004E7B26">
              <w:rPr>
                <w:rFonts w:asciiTheme="majorHAnsi" w:hAnsiTheme="majorHAnsi"/>
                <w:b/>
              </w:rPr>
              <w:t>Contraindications</w:t>
            </w:r>
          </w:p>
        </w:tc>
        <w:tc>
          <w:tcPr>
            <w:tcW w:w="4111" w:type="dxa"/>
          </w:tcPr>
          <w:p w:rsidR="001E569D" w:rsidRPr="004E7B26" w:rsidRDefault="001E569D" w:rsidP="00DA75AC">
            <w:pPr>
              <w:rPr>
                <w:rFonts w:asciiTheme="majorHAnsi" w:hAnsiTheme="majorHAnsi"/>
                <w:b/>
              </w:rPr>
            </w:pPr>
            <w:r w:rsidRPr="004E7B26">
              <w:rPr>
                <w:rFonts w:asciiTheme="majorHAnsi" w:hAnsiTheme="majorHAnsi"/>
                <w:b/>
              </w:rPr>
              <w:t>Pharmacology</w:t>
            </w:r>
          </w:p>
        </w:tc>
        <w:tc>
          <w:tcPr>
            <w:tcW w:w="3728" w:type="dxa"/>
          </w:tcPr>
          <w:p w:rsidR="001E569D" w:rsidRPr="004E7B26" w:rsidRDefault="001E569D" w:rsidP="00DA75AC">
            <w:pPr>
              <w:rPr>
                <w:rFonts w:asciiTheme="majorHAnsi" w:hAnsiTheme="majorHAnsi"/>
                <w:b/>
              </w:rPr>
            </w:pPr>
            <w:r w:rsidRPr="004E7B26">
              <w:rPr>
                <w:rFonts w:asciiTheme="majorHAnsi" w:hAnsiTheme="majorHAnsi"/>
                <w:b/>
              </w:rPr>
              <w:t>Adverse Effects</w:t>
            </w:r>
          </w:p>
        </w:tc>
      </w:tr>
      <w:tr w:rsidR="001A7133" w:rsidRPr="004E7B26" w:rsidTr="004E0087">
        <w:trPr>
          <w:trHeight w:val="7227"/>
        </w:trPr>
        <w:tc>
          <w:tcPr>
            <w:tcW w:w="2750" w:type="dxa"/>
          </w:tcPr>
          <w:p w:rsidR="001A7133" w:rsidRDefault="0032131C" w:rsidP="001A7133">
            <w:pPr>
              <w:ind w:lef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Cefokel 50</w:t>
            </w:r>
          </w:p>
          <w:p w:rsidR="0032131C" w:rsidRDefault="0032131C" w:rsidP="001A7133">
            <w:pPr>
              <w:ind w:left="-108"/>
              <w:rPr>
                <w:rFonts w:asciiTheme="majorHAnsi" w:hAnsiTheme="majorHAnsi"/>
              </w:rPr>
            </w:pPr>
          </w:p>
          <w:p w:rsidR="0032131C" w:rsidRPr="004E7B26" w:rsidRDefault="0032131C" w:rsidP="001A7133">
            <w:pPr>
              <w:ind w:left="-108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>
                  <wp:extent cx="1686296" cy="3263211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85" t="1" r="18148" b="1676"/>
                          <a:stretch/>
                        </pic:blipFill>
                        <pic:spPr bwMode="auto">
                          <a:xfrm>
                            <a:off x="0" y="0"/>
                            <a:ext cx="1701125" cy="329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1A7133" w:rsidRPr="004E7B26" w:rsidRDefault="00FF5583" w:rsidP="001A7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Cattle, Swine</w:t>
            </w:r>
          </w:p>
        </w:tc>
        <w:tc>
          <w:tcPr>
            <w:tcW w:w="2210" w:type="dxa"/>
          </w:tcPr>
          <w:p w:rsidR="001A7133" w:rsidRPr="004E7B26" w:rsidRDefault="00FF5583" w:rsidP="001A7133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lang w:val="en-US"/>
              </w:rPr>
            </w:pPr>
            <w:r>
              <w:rPr>
                <w:rFonts w:asciiTheme="majorHAnsi" w:hAnsiTheme="majorHAnsi" w:cs="Times-Roman"/>
                <w:lang w:val="en-US"/>
              </w:rPr>
              <w:t xml:space="preserve">Infections associated with bacteria sensitive to ceftiofur. </w:t>
            </w:r>
          </w:p>
        </w:tc>
        <w:tc>
          <w:tcPr>
            <w:tcW w:w="1819" w:type="dxa"/>
          </w:tcPr>
          <w:p w:rsidR="00FF5583" w:rsidRPr="00DF17EC" w:rsidRDefault="00FF5583" w:rsidP="00FF5583">
            <w:pPr>
              <w:rPr>
                <w:rFonts w:cs="Times New Roman"/>
                <w:sz w:val="22"/>
                <w:szCs w:val="22"/>
              </w:rPr>
            </w:pPr>
            <w:r w:rsidRPr="00DF17EC">
              <w:rPr>
                <w:rFonts w:cs="Times New Roman"/>
                <w:sz w:val="22"/>
                <w:szCs w:val="22"/>
                <w:u w:val="single"/>
              </w:rPr>
              <w:t>Pigs</w:t>
            </w:r>
            <w:r w:rsidRPr="00DF17EC">
              <w:rPr>
                <w:rFonts w:cs="Times New Roman"/>
                <w:sz w:val="22"/>
                <w:szCs w:val="22"/>
              </w:rPr>
              <w:t>: 3mg/kg, IM or 1 ml/16kg at each injection.</w:t>
            </w:r>
          </w:p>
          <w:p w:rsidR="00FF5583" w:rsidRPr="00DF17EC" w:rsidRDefault="00FF5583" w:rsidP="00FF5583">
            <w:pPr>
              <w:rPr>
                <w:rFonts w:cs="Times New Roman"/>
                <w:sz w:val="22"/>
                <w:szCs w:val="22"/>
                <w:u w:val="single"/>
              </w:rPr>
            </w:pPr>
          </w:p>
          <w:p w:rsidR="00FF5583" w:rsidRPr="00DF17EC" w:rsidRDefault="00FF5583" w:rsidP="00FF5583">
            <w:pPr>
              <w:rPr>
                <w:rFonts w:cs="Times New Roman"/>
                <w:sz w:val="22"/>
                <w:szCs w:val="22"/>
              </w:rPr>
            </w:pPr>
            <w:r w:rsidRPr="00DF17EC">
              <w:rPr>
                <w:rFonts w:cs="Times New Roman"/>
                <w:sz w:val="22"/>
                <w:szCs w:val="22"/>
                <w:u w:val="single"/>
              </w:rPr>
              <w:t>Cattle</w:t>
            </w:r>
            <w:r w:rsidRPr="00DF17EC">
              <w:rPr>
                <w:rFonts w:cs="Times New Roman"/>
                <w:sz w:val="22"/>
                <w:szCs w:val="22"/>
              </w:rPr>
              <w:t>:</w:t>
            </w:r>
          </w:p>
          <w:p w:rsidR="00FF5583" w:rsidRPr="00DF17EC" w:rsidRDefault="00FF5583" w:rsidP="00FF5583">
            <w:pPr>
              <w:rPr>
                <w:rFonts w:cs="Times New Roman"/>
                <w:sz w:val="22"/>
                <w:szCs w:val="22"/>
              </w:rPr>
            </w:pPr>
            <w:r w:rsidRPr="00DF17EC">
              <w:rPr>
                <w:rFonts w:cs="Times New Roman"/>
                <w:sz w:val="22"/>
                <w:szCs w:val="22"/>
              </w:rPr>
              <w:t>Respiratory disease: 1mg /kg, SC.</w:t>
            </w:r>
          </w:p>
          <w:p w:rsidR="00FF5583" w:rsidRPr="00DF17EC" w:rsidRDefault="00FF5583" w:rsidP="00FF5583">
            <w:pPr>
              <w:rPr>
                <w:rFonts w:cs="Times New Roman"/>
                <w:sz w:val="22"/>
                <w:szCs w:val="22"/>
              </w:rPr>
            </w:pPr>
            <w:r w:rsidRPr="00DF17EC">
              <w:rPr>
                <w:rFonts w:cs="Times New Roman"/>
                <w:sz w:val="22"/>
                <w:szCs w:val="22"/>
              </w:rPr>
              <w:t>Footrot: 1mg/kg SC injection.</w:t>
            </w:r>
          </w:p>
          <w:p w:rsidR="00FF5583" w:rsidRPr="00DF17EC" w:rsidRDefault="00FF5583" w:rsidP="00FF5583">
            <w:pPr>
              <w:rPr>
                <w:rFonts w:cs="Times New Roman"/>
                <w:sz w:val="22"/>
                <w:szCs w:val="22"/>
              </w:rPr>
            </w:pPr>
            <w:r w:rsidRPr="00DF17EC">
              <w:rPr>
                <w:rFonts w:cs="Times New Roman"/>
                <w:sz w:val="22"/>
                <w:szCs w:val="22"/>
              </w:rPr>
              <w:t xml:space="preserve">Acute post-partum metritis within 10 days of calving: 1mg/kg for 5 consecutive days SC </w:t>
            </w:r>
          </w:p>
          <w:p w:rsidR="001A7133" w:rsidRPr="00DF17EC" w:rsidRDefault="001A7133" w:rsidP="001A713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6" w:type="dxa"/>
          </w:tcPr>
          <w:p w:rsidR="004E0087" w:rsidRPr="004E0087" w:rsidRDefault="004E0087" w:rsidP="004E0087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</w:rPr>
            </w:pPr>
            <w:r w:rsidRPr="004E0087">
              <w:rPr>
                <w:rFonts w:asciiTheme="majorHAnsi" w:hAnsiTheme="majorHAnsi" w:cs="Times-Roman"/>
              </w:rPr>
              <w:t>Cephalosporin overdoses are unlikely to cause significant</w:t>
            </w:r>
          </w:p>
          <w:p w:rsidR="001A7133" w:rsidRPr="004E7B26" w:rsidRDefault="004E0087" w:rsidP="004E0087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lang w:val="en-US"/>
              </w:rPr>
            </w:pPr>
            <w:r w:rsidRPr="004E0087">
              <w:rPr>
                <w:rFonts w:asciiTheme="majorHAnsi" w:hAnsiTheme="majorHAnsi" w:cs="Times-Roman"/>
              </w:rPr>
              <w:t>problems other than GI distress, but other effects are possible</w:t>
            </w:r>
          </w:p>
        </w:tc>
        <w:tc>
          <w:tcPr>
            <w:tcW w:w="1701" w:type="dxa"/>
          </w:tcPr>
          <w:p w:rsidR="00FF5583" w:rsidRPr="00DF17EC" w:rsidRDefault="00FF5583" w:rsidP="00FF5583">
            <w:pPr>
              <w:rPr>
                <w:rFonts w:cs="Times New Roman"/>
                <w:sz w:val="22"/>
                <w:szCs w:val="22"/>
              </w:rPr>
            </w:pPr>
            <w:r w:rsidRPr="00DF17EC">
              <w:rPr>
                <w:rFonts w:cs="Times New Roman"/>
                <w:sz w:val="22"/>
                <w:szCs w:val="22"/>
              </w:rPr>
              <w:t>Hypersensitive patients to ceftiofur and other β-lactam antibiotics.</w:t>
            </w:r>
          </w:p>
          <w:p w:rsidR="00FF5583" w:rsidRPr="00DF17EC" w:rsidRDefault="00FF5583" w:rsidP="00FF5583">
            <w:pPr>
              <w:rPr>
                <w:rFonts w:cs="Times New Roman"/>
                <w:sz w:val="22"/>
                <w:szCs w:val="22"/>
              </w:rPr>
            </w:pPr>
            <w:r w:rsidRPr="00DF17EC">
              <w:rPr>
                <w:rFonts w:cs="Times New Roman"/>
                <w:sz w:val="22"/>
                <w:szCs w:val="22"/>
              </w:rPr>
              <w:t>Do not inject intravenously.</w:t>
            </w:r>
          </w:p>
          <w:p w:rsidR="00FF5583" w:rsidRPr="00DF17EC" w:rsidRDefault="00FF5583" w:rsidP="00FF5583">
            <w:pPr>
              <w:rPr>
                <w:rFonts w:cs="Times New Roman"/>
                <w:sz w:val="22"/>
                <w:szCs w:val="22"/>
              </w:rPr>
            </w:pPr>
            <w:r w:rsidRPr="00DF17EC">
              <w:rPr>
                <w:rFonts w:cs="Times New Roman"/>
                <w:sz w:val="22"/>
                <w:szCs w:val="22"/>
                <w:shd w:val="clear" w:color="auto" w:fill="FFFFFF"/>
              </w:rPr>
              <w:t>If resistance to Cephalosporins or beta-lactam antibiotics has occurred.</w:t>
            </w:r>
          </w:p>
          <w:p w:rsidR="001A7133" w:rsidRPr="004E7B26" w:rsidRDefault="001A7133" w:rsidP="001A713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FF5583" w:rsidRPr="00FF5583" w:rsidRDefault="00FF5583" w:rsidP="00FF5583">
            <w:pPr>
              <w:rPr>
                <w:rFonts w:asciiTheme="majorHAnsi" w:hAnsiTheme="majorHAnsi" w:cs="Times-Roman"/>
              </w:rPr>
            </w:pPr>
            <w:r w:rsidRPr="00FF5583">
              <w:rPr>
                <w:rFonts w:asciiTheme="majorHAnsi" w:hAnsiTheme="majorHAnsi" w:cs="Times-Roman"/>
              </w:rPr>
              <w:t>Ceftiofur is a third generation of cephalosporin, which is active against many Gram-positive and Gram-negative bacteria, including β–lactamase producing strains (except strains producing some type of extended spectrum b-lactamases).</w:t>
            </w:r>
          </w:p>
          <w:p w:rsidR="00FF5583" w:rsidRPr="00FF5583" w:rsidRDefault="00FF5583" w:rsidP="00FF5583">
            <w:pPr>
              <w:rPr>
                <w:rFonts w:asciiTheme="majorHAnsi" w:hAnsiTheme="majorHAnsi" w:cs="Times-Roman"/>
              </w:rPr>
            </w:pPr>
            <w:r w:rsidRPr="00FF5583">
              <w:rPr>
                <w:rFonts w:asciiTheme="majorHAnsi" w:hAnsiTheme="majorHAnsi" w:cs="Times-Roman"/>
              </w:rPr>
              <w:t>Ceftiofur inhibits the bacterial cell wall synthesis, thereby exerting bactericidal properties.</w:t>
            </w:r>
          </w:p>
          <w:p w:rsidR="00FF5583" w:rsidRDefault="00FF5583" w:rsidP="00FF5583">
            <w:pPr>
              <w:rPr>
                <w:rFonts w:asciiTheme="majorHAnsi" w:hAnsiTheme="majorHAnsi" w:cs="Times-Roman"/>
              </w:rPr>
            </w:pPr>
            <w:r w:rsidRPr="00FF5583">
              <w:rPr>
                <w:rFonts w:asciiTheme="majorHAnsi" w:hAnsiTheme="majorHAnsi" w:cs="Times-Roman"/>
              </w:rPr>
              <w:t>b-lactams act by interfering with synthesis of the bacterial cell wall. Cell wall synthesis is dependent on enzymes that are called penicillin-binding proteins (PBP's). Bacteria develop resistance to cephalosporins by four basic mechanisms:</w:t>
            </w:r>
          </w:p>
          <w:p w:rsidR="00FF5583" w:rsidRDefault="00FF5583" w:rsidP="00FF5583">
            <w:pPr>
              <w:rPr>
                <w:rFonts w:asciiTheme="majorHAnsi" w:hAnsiTheme="majorHAnsi" w:cs="Times-Roman"/>
              </w:rPr>
            </w:pPr>
            <w:r w:rsidRPr="00FF5583">
              <w:rPr>
                <w:rFonts w:asciiTheme="majorHAnsi" w:hAnsiTheme="majorHAnsi" w:cs="Times-Roman"/>
              </w:rPr>
              <w:t>1) altering or acquiring penicillin binding proteins insensitive to an otherwise effective b-lactam;</w:t>
            </w:r>
          </w:p>
          <w:p w:rsidR="00FF5583" w:rsidRDefault="00FF5583" w:rsidP="00FF5583">
            <w:pPr>
              <w:rPr>
                <w:rFonts w:asciiTheme="majorHAnsi" w:hAnsiTheme="majorHAnsi" w:cs="Times-Roman"/>
              </w:rPr>
            </w:pPr>
            <w:r w:rsidRPr="00FF5583">
              <w:rPr>
                <w:rFonts w:asciiTheme="majorHAnsi" w:hAnsiTheme="majorHAnsi" w:cs="Times-Roman"/>
              </w:rPr>
              <w:t xml:space="preserve">2) altering the permeability of the cell to b-lactams; </w:t>
            </w:r>
          </w:p>
          <w:p w:rsidR="00FF5583" w:rsidRDefault="00FF5583" w:rsidP="00FF5583">
            <w:pPr>
              <w:rPr>
                <w:rFonts w:asciiTheme="majorHAnsi" w:hAnsiTheme="majorHAnsi" w:cs="Times-Roman"/>
              </w:rPr>
            </w:pPr>
            <w:r w:rsidRPr="00FF5583">
              <w:rPr>
                <w:rFonts w:asciiTheme="majorHAnsi" w:hAnsiTheme="majorHAnsi" w:cs="Times-Roman"/>
              </w:rPr>
              <w:t xml:space="preserve">3) producing b-lactamases that cleave the b-lactam ring of the molecule, or </w:t>
            </w:r>
          </w:p>
          <w:p w:rsidR="00FF5583" w:rsidRPr="00FF5583" w:rsidRDefault="00FF5583" w:rsidP="00FF5583">
            <w:pPr>
              <w:rPr>
                <w:rFonts w:asciiTheme="majorHAnsi" w:hAnsiTheme="majorHAnsi" w:cs="Times-Roman"/>
              </w:rPr>
            </w:pPr>
            <w:r w:rsidRPr="00FF5583">
              <w:rPr>
                <w:rFonts w:asciiTheme="majorHAnsi" w:hAnsiTheme="majorHAnsi" w:cs="Times-Roman"/>
              </w:rPr>
              <w:t>4) active efflux.</w:t>
            </w:r>
          </w:p>
          <w:p w:rsidR="00FF5583" w:rsidRPr="00FF5583" w:rsidRDefault="00FF5583" w:rsidP="00FF5583">
            <w:pPr>
              <w:rPr>
                <w:rFonts w:asciiTheme="majorHAnsi" w:hAnsiTheme="majorHAnsi" w:cs="Times-Roman"/>
              </w:rPr>
            </w:pPr>
            <w:r w:rsidRPr="00FF5583">
              <w:rPr>
                <w:rFonts w:asciiTheme="majorHAnsi" w:hAnsiTheme="majorHAnsi" w:cs="Times-Roman"/>
              </w:rPr>
              <w:t>Some b-lactamases, documented in Gram-negative enteric organisms, may confer elevated MICs to varying degrees to third and fourth generation cephalosporins, as well as penicillins, ampicillins, b-lactam inhibitor combinations, and first and second generation cephalosporins.</w:t>
            </w:r>
          </w:p>
          <w:p w:rsidR="001A7133" w:rsidRPr="004E7B26" w:rsidRDefault="001A7133" w:rsidP="001A7133">
            <w:pPr>
              <w:rPr>
                <w:rFonts w:asciiTheme="majorHAnsi" w:hAnsiTheme="majorHAnsi" w:cs="Times-Roman"/>
                <w:lang w:val="en-US"/>
              </w:rPr>
            </w:pPr>
          </w:p>
        </w:tc>
        <w:tc>
          <w:tcPr>
            <w:tcW w:w="3728" w:type="dxa"/>
          </w:tcPr>
          <w:p w:rsidR="00FF5583" w:rsidRPr="00FF5583" w:rsidRDefault="00FF5583" w:rsidP="00FF5583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</w:rPr>
            </w:pPr>
            <w:r w:rsidRPr="00FF5583">
              <w:rPr>
                <w:rFonts w:asciiTheme="majorHAnsi" w:hAnsiTheme="majorHAnsi" w:cs="Times-Roman"/>
              </w:rPr>
              <w:t>Cephalosporins can cause pain at the injection site when administered intramuscularly. Sterile</w:t>
            </w:r>
            <w:r w:rsidR="00192130">
              <w:rPr>
                <w:rFonts w:asciiTheme="majorHAnsi" w:hAnsiTheme="majorHAnsi" w:cs="Times-Roman"/>
              </w:rPr>
              <w:t xml:space="preserve"> </w:t>
            </w:r>
            <w:r w:rsidRPr="00FF5583">
              <w:rPr>
                <w:rFonts w:asciiTheme="majorHAnsi" w:hAnsiTheme="majorHAnsi" w:cs="Times-Roman"/>
              </w:rPr>
              <w:t>abscesses or other severe local tissue reactions are also possible but are much less common.</w:t>
            </w:r>
          </w:p>
          <w:p w:rsidR="00FF5583" w:rsidRPr="00FF5583" w:rsidRDefault="00FF5583" w:rsidP="00FF5583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</w:rPr>
            </w:pPr>
            <w:r w:rsidRPr="00FF5583">
              <w:rPr>
                <w:rFonts w:asciiTheme="majorHAnsi" w:hAnsiTheme="majorHAnsi" w:cs="Times-Roman"/>
              </w:rPr>
              <w:t>Thrombophlebitis is also possible after IV administration of these drugs.</w:t>
            </w:r>
          </w:p>
          <w:p w:rsidR="00FF5583" w:rsidRPr="00FF5583" w:rsidRDefault="00FF5583" w:rsidP="00FF5583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</w:rPr>
            </w:pPr>
            <w:r w:rsidRPr="00FF5583">
              <w:rPr>
                <w:rFonts w:asciiTheme="majorHAnsi" w:hAnsiTheme="majorHAnsi" w:cs="Times-Roman"/>
              </w:rPr>
              <w:t>While it has been demonstrated that the cephalosporins (particularly cephalothin) have the</w:t>
            </w:r>
            <w:r w:rsidR="00192130">
              <w:rPr>
                <w:rFonts w:asciiTheme="majorHAnsi" w:hAnsiTheme="majorHAnsi" w:cs="Times-Roman"/>
              </w:rPr>
              <w:t xml:space="preserve"> </w:t>
            </w:r>
            <w:r w:rsidRPr="00FF5583">
              <w:rPr>
                <w:rFonts w:asciiTheme="majorHAnsi" w:hAnsiTheme="majorHAnsi" w:cs="Times-Roman"/>
              </w:rPr>
              <w:t>potential for causing nephrotoxicity, at clinically used doses in patients with normal renal</w:t>
            </w:r>
            <w:r w:rsidR="00192130">
              <w:rPr>
                <w:rFonts w:asciiTheme="majorHAnsi" w:hAnsiTheme="majorHAnsi" w:cs="Times-Roman"/>
              </w:rPr>
              <w:t xml:space="preserve"> </w:t>
            </w:r>
            <w:r w:rsidRPr="00FF5583">
              <w:rPr>
                <w:rFonts w:asciiTheme="majorHAnsi" w:hAnsiTheme="majorHAnsi" w:cs="Times-Roman"/>
              </w:rPr>
              <w:t>function, risks for this adverse effect occurring appear minimal.</w:t>
            </w:r>
          </w:p>
          <w:p w:rsidR="00FF5583" w:rsidRPr="00FF5583" w:rsidRDefault="00FF5583" w:rsidP="00FF5583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</w:rPr>
            </w:pPr>
            <w:r w:rsidRPr="00FF5583">
              <w:rPr>
                <w:rFonts w:asciiTheme="majorHAnsi" w:hAnsiTheme="majorHAnsi" w:cs="Times-Roman"/>
              </w:rPr>
              <w:t>High doses or very prolonged use has been associated with neurotoxicity, neutropenia,</w:t>
            </w:r>
          </w:p>
          <w:p w:rsidR="001A7133" w:rsidRPr="004E7B26" w:rsidRDefault="00FF5583" w:rsidP="00192130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</w:rPr>
            </w:pPr>
            <w:r w:rsidRPr="00FF5583">
              <w:rPr>
                <w:rFonts w:asciiTheme="majorHAnsi" w:hAnsiTheme="majorHAnsi" w:cs="Times-Roman"/>
              </w:rPr>
              <w:t>agranulocytosis, thrombocytopenia, hepatitis, positive Coomb’s test, interstitial nephritis, and</w:t>
            </w:r>
            <w:r w:rsidR="00192130">
              <w:rPr>
                <w:rFonts w:asciiTheme="majorHAnsi" w:hAnsiTheme="majorHAnsi" w:cs="Times-Roman"/>
              </w:rPr>
              <w:t xml:space="preserve"> </w:t>
            </w:r>
            <w:r w:rsidRPr="00FF5583">
              <w:rPr>
                <w:rFonts w:asciiTheme="majorHAnsi" w:hAnsiTheme="majorHAnsi" w:cs="Times-Roman"/>
              </w:rPr>
              <w:t>tubular necrosis. Except for tubular necrosis and neurotoxicity, these effects have an</w:t>
            </w:r>
            <w:r w:rsidR="00192130">
              <w:rPr>
                <w:rFonts w:asciiTheme="majorHAnsi" w:hAnsiTheme="majorHAnsi" w:cs="Times-Roman"/>
              </w:rPr>
              <w:t xml:space="preserve"> </w:t>
            </w:r>
            <w:r w:rsidRPr="00FF5583">
              <w:rPr>
                <w:rFonts w:asciiTheme="majorHAnsi" w:hAnsiTheme="majorHAnsi" w:cs="Times-Roman"/>
              </w:rPr>
              <w:t>immunologic component</w:t>
            </w:r>
          </w:p>
        </w:tc>
      </w:tr>
    </w:tbl>
    <w:p w:rsidR="00105717" w:rsidRPr="004E7B26" w:rsidRDefault="00BD3499" w:rsidP="00BD3499">
      <w:pPr>
        <w:tabs>
          <w:tab w:val="left" w:pos="1976"/>
        </w:tabs>
        <w:rPr>
          <w:rFonts w:asciiTheme="majorHAnsi" w:hAnsiTheme="majorHAnsi"/>
        </w:rPr>
      </w:pPr>
      <w:r w:rsidRPr="004E7B26">
        <w:rPr>
          <w:rFonts w:asciiTheme="majorHAnsi" w:hAnsiTheme="majorHAnsi"/>
        </w:rPr>
        <w:tab/>
      </w:r>
    </w:p>
    <w:p w:rsidR="004E7B26" w:rsidRPr="004E7B26" w:rsidRDefault="004E7B26" w:rsidP="004E7B2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4E7B26">
        <w:rPr>
          <w:rFonts w:asciiTheme="majorHAnsi" w:hAnsiTheme="majorHAnsi"/>
        </w:rPr>
        <w:t xml:space="preserve">* </w:t>
      </w:r>
      <w:bookmarkStart w:id="0" w:name="_GoBack"/>
      <w:r w:rsidR="007E5AEE">
        <w:rPr>
          <w:rFonts w:asciiTheme="majorHAnsi" w:hAnsiTheme="majorHAnsi"/>
        </w:rPr>
        <w:t>No withdrawal time is required for meat or milk</w:t>
      </w:r>
      <w:bookmarkEnd w:id="0"/>
    </w:p>
    <w:sectPr w:rsidR="004E7B26" w:rsidRPr="004E7B26" w:rsidSect="001E569D">
      <w:pgSz w:w="20160" w:h="12240" w:orient="landscape" w:code="5"/>
      <w:pgMar w:top="36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B39" w:rsidRDefault="00920B39" w:rsidP="001E569D">
      <w:pPr>
        <w:spacing w:after="0" w:line="240" w:lineRule="auto"/>
      </w:pPr>
      <w:r>
        <w:separator/>
      </w:r>
    </w:p>
  </w:endnote>
  <w:endnote w:type="continuationSeparator" w:id="0">
    <w:p w:rsidR="00920B39" w:rsidRDefault="00920B39" w:rsidP="001E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B39" w:rsidRDefault="00920B39" w:rsidP="001E569D">
      <w:pPr>
        <w:spacing w:after="0" w:line="240" w:lineRule="auto"/>
      </w:pPr>
      <w:r>
        <w:separator/>
      </w:r>
    </w:p>
  </w:footnote>
  <w:footnote w:type="continuationSeparator" w:id="0">
    <w:p w:rsidR="00920B39" w:rsidRDefault="00920B39" w:rsidP="001E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39FD"/>
    <w:multiLevelType w:val="hybridMultilevel"/>
    <w:tmpl w:val="DD72E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36F2"/>
    <w:multiLevelType w:val="hybridMultilevel"/>
    <w:tmpl w:val="BEB84560"/>
    <w:lvl w:ilvl="0" w:tplc="DA964D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1616"/>
    <w:multiLevelType w:val="hybridMultilevel"/>
    <w:tmpl w:val="9C26F350"/>
    <w:lvl w:ilvl="0" w:tplc="74848C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326E"/>
    <w:multiLevelType w:val="hybridMultilevel"/>
    <w:tmpl w:val="86EEB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D1"/>
    <w:rsid w:val="00020761"/>
    <w:rsid w:val="0004603D"/>
    <w:rsid w:val="00061D9D"/>
    <w:rsid w:val="000664D1"/>
    <w:rsid w:val="00105717"/>
    <w:rsid w:val="00163CBB"/>
    <w:rsid w:val="001840FE"/>
    <w:rsid w:val="00192130"/>
    <w:rsid w:val="001A7133"/>
    <w:rsid w:val="001E0472"/>
    <w:rsid w:val="001E569D"/>
    <w:rsid w:val="0032131C"/>
    <w:rsid w:val="0033317B"/>
    <w:rsid w:val="003371F1"/>
    <w:rsid w:val="00381560"/>
    <w:rsid w:val="00422EA6"/>
    <w:rsid w:val="00483145"/>
    <w:rsid w:val="004E0087"/>
    <w:rsid w:val="004E7B26"/>
    <w:rsid w:val="00562691"/>
    <w:rsid w:val="005A194B"/>
    <w:rsid w:val="00614BE3"/>
    <w:rsid w:val="006649DF"/>
    <w:rsid w:val="006650DF"/>
    <w:rsid w:val="00680A5E"/>
    <w:rsid w:val="006D0689"/>
    <w:rsid w:val="006F6D5E"/>
    <w:rsid w:val="007D44F1"/>
    <w:rsid w:val="007E5AEE"/>
    <w:rsid w:val="00882DD1"/>
    <w:rsid w:val="00892D2F"/>
    <w:rsid w:val="009071E2"/>
    <w:rsid w:val="00920B39"/>
    <w:rsid w:val="0093134A"/>
    <w:rsid w:val="00970CAA"/>
    <w:rsid w:val="009A1DE7"/>
    <w:rsid w:val="00A808A0"/>
    <w:rsid w:val="00A87D9F"/>
    <w:rsid w:val="00AC6327"/>
    <w:rsid w:val="00AD7CE2"/>
    <w:rsid w:val="00B31DA8"/>
    <w:rsid w:val="00BB067B"/>
    <w:rsid w:val="00BC3B5F"/>
    <w:rsid w:val="00BD3499"/>
    <w:rsid w:val="00C476D1"/>
    <w:rsid w:val="00C65D35"/>
    <w:rsid w:val="00E357C3"/>
    <w:rsid w:val="00ED0441"/>
    <w:rsid w:val="00EF14B5"/>
    <w:rsid w:val="00F64EA4"/>
    <w:rsid w:val="00FD5C20"/>
    <w:rsid w:val="00FE22D9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86DE"/>
  <w15:docId w15:val="{38EF5C97-DE63-473E-8708-EEBDAFD2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441"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D1"/>
    <w:rPr>
      <w:rFonts w:ascii="Tahoma" w:hAnsi="Tahoma" w:cs="Tahoma"/>
      <w:sz w:val="16"/>
      <w:szCs w:val="16"/>
      <w:lang w:val="en-TT"/>
    </w:rPr>
  </w:style>
  <w:style w:type="paragraph" w:styleId="NormalWeb">
    <w:name w:val="Normal (Web)"/>
    <w:basedOn w:val="Normal"/>
    <w:uiPriority w:val="99"/>
    <w:unhideWhenUsed/>
    <w:rsid w:val="0088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E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69D"/>
    <w:rPr>
      <w:lang w:val="en-TT"/>
    </w:rPr>
  </w:style>
  <w:style w:type="paragraph" w:styleId="Footer">
    <w:name w:val="footer"/>
    <w:basedOn w:val="Normal"/>
    <w:link w:val="FooterChar"/>
    <w:uiPriority w:val="99"/>
    <w:semiHidden/>
    <w:unhideWhenUsed/>
    <w:rsid w:val="001E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69D"/>
    <w:rPr>
      <w:lang w:val="en-TT"/>
    </w:rPr>
  </w:style>
  <w:style w:type="paragraph" w:styleId="ListParagraph">
    <w:name w:val="List Paragraph"/>
    <w:basedOn w:val="Normal"/>
    <w:uiPriority w:val="34"/>
    <w:qFormat/>
    <w:rsid w:val="006F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Maharaj</dc:creator>
  <cp:lastModifiedBy>Krystal Maharaj</cp:lastModifiedBy>
  <cp:revision>5</cp:revision>
  <dcterms:created xsi:type="dcterms:W3CDTF">2018-09-08T02:45:00Z</dcterms:created>
  <dcterms:modified xsi:type="dcterms:W3CDTF">2018-09-08T05:51:00Z</dcterms:modified>
</cp:coreProperties>
</file>