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42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50"/>
        <w:gridCol w:w="1241"/>
        <w:gridCol w:w="2474"/>
        <w:gridCol w:w="1555"/>
        <w:gridCol w:w="2292"/>
        <w:gridCol w:w="2835"/>
        <w:gridCol w:w="3920"/>
        <w:gridCol w:w="2359"/>
      </w:tblGrid>
      <w:tr w:rsidR="001E569D" w:rsidRPr="006F6D5E" w:rsidTr="00061D9D">
        <w:trPr>
          <w:trHeight w:val="663"/>
        </w:trPr>
        <w:tc>
          <w:tcPr>
            <w:tcW w:w="275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Drug</w:t>
            </w:r>
          </w:p>
        </w:tc>
        <w:tc>
          <w:tcPr>
            <w:tcW w:w="1241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Species</w:t>
            </w:r>
          </w:p>
        </w:tc>
        <w:tc>
          <w:tcPr>
            <w:tcW w:w="2474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Indications</w:t>
            </w:r>
          </w:p>
        </w:tc>
        <w:tc>
          <w:tcPr>
            <w:tcW w:w="1555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Therapeutic Dose</w:t>
            </w:r>
          </w:p>
        </w:tc>
        <w:tc>
          <w:tcPr>
            <w:tcW w:w="2292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Lethal Dose/ Toxicity</w:t>
            </w:r>
          </w:p>
        </w:tc>
        <w:tc>
          <w:tcPr>
            <w:tcW w:w="2835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Contraindications</w:t>
            </w:r>
          </w:p>
        </w:tc>
        <w:tc>
          <w:tcPr>
            <w:tcW w:w="392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Pharmacology</w:t>
            </w:r>
          </w:p>
        </w:tc>
        <w:tc>
          <w:tcPr>
            <w:tcW w:w="2359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Adverse Effects</w:t>
            </w:r>
          </w:p>
        </w:tc>
      </w:tr>
      <w:tr w:rsidR="00061D9D" w:rsidRPr="006F6D5E" w:rsidTr="00061D9D">
        <w:trPr>
          <w:trHeight w:val="7227"/>
        </w:trPr>
        <w:tc>
          <w:tcPr>
            <w:tcW w:w="2750" w:type="dxa"/>
          </w:tcPr>
          <w:p w:rsidR="00061D9D" w:rsidRPr="00061D9D" w:rsidRDefault="00061D9D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061D9D">
              <w:rPr>
                <w:rFonts w:asciiTheme="majorHAnsi" w:hAnsiTheme="majorHAnsi"/>
                <w:sz w:val="22"/>
                <w:szCs w:val="22"/>
              </w:rPr>
              <w:t>Amoxxycillin</w:t>
            </w:r>
          </w:p>
          <w:p w:rsidR="00061D9D" w:rsidRPr="00061D9D" w:rsidRDefault="00061D9D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</w:p>
          <w:p w:rsidR="00061D9D" w:rsidRPr="00061D9D" w:rsidRDefault="00061D9D" w:rsidP="00061D9D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061D9D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7DDC5D4F" wp14:editId="09F49BEF">
                  <wp:extent cx="1456660" cy="24029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57" r="23101" b="41643"/>
                          <a:stretch/>
                        </pic:blipFill>
                        <pic:spPr bwMode="auto">
                          <a:xfrm>
                            <a:off x="0" y="0"/>
                            <a:ext cx="1465530" cy="241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061D9D" w:rsidRPr="00061D9D" w:rsidRDefault="00061D9D" w:rsidP="00061D9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Cattle, Horses</w:t>
            </w:r>
          </w:p>
        </w:tc>
        <w:tc>
          <w:tcPr>
            <w:tcW w:w="2474" w:type="dxa"/>
          </w:tcPr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061D9D">
              <w:rPr>
                <w:rFonts w:asciiTheme="majorHAnsi" w:hAnsiTheme="majorHAnsi" w:cs="Times New Roman"/>
                <w:sz w:val="22"/>
                <w:szCs w:val="22"/>
              </w:rPr>
              <w:t>First drug of choice for suspected infections that have no sensitivity &amp; culture test done</w:t>
            </w:r>
          </w:p>
        </w:tc>
        <w:tc>
          <w:tcPr>
            <w:tcW w:w="1555" w:type="dxa"/>
          </w:tcPr>
          <w:p w:rsidR="00061D9D" w:rsidRPr="00061D9D" w:rsidRDefault="00061D9D" w:rsidP="00061D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061D9D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Cattle</w:t>
            </w:r>
            <w:r w:rsidRPr="00061D9D">
              <w:rPr>
                <w:rFonts w:asciiTheme="majorHAnsi" w:hAnsiTheme="majorHAnsi" w:cs="Times New Roman"/>
                <w:sz w:val="22"/>
                <w:szCs w:val="22"/>
              </w:rPr>
              <w:t>: 6-10mg/kg</w:t>
            </w:r>
          </w:p>
          <w:p w:rsidR="00061D9D" w:rsidRPr="00061D9D" w:rsidRDefault="00061D9D" w:rsidP="00061D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061D9D">
              <w:rPr>
                <w:rFonts w:asciiTheme="majorHAnsi" w:hAnsiTheme="majorHAnsi" w:cs="Times New Roman"/>
                <w:sz w:val="22"/>
                <w:szCs w:val="22"/>
              </w:rPr>
              <w:t>Calves: 7mg/kg PO</w:t>
            </w:r>
          </w:p>
          <w:p w:rsidR="00061D9D" w:rsidRPr="00061D9D" w:rsidRDefault="00061D9D" w:rsidP="00061D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061D9D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Horses</w:t>
            </w:r>
            <w:r w:rsidRPr="00061D9D">
              <w:rPr>
                <w:rFonts w:asciiTheme="majorHAnsi" w:hAnsiTheme="majorHAnsi" w:cs="Times New Roman"/>
                <w:sz w:val="22"/>
                <w:szCs w:val="22"/>
              </w:rPr>
              <w:t>: 20-30mg/ kg PO</w:t>
            </w:r>
            <w:r w:rsidRPr="00061D9D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  <w:p w:rsidR="00061D9D" w:rsidRPr="00061D9D" w:rsidRDefault="00061D9D" w:rsidP="00061D9D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061D9D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Foals</w:t>
            </w:r>
            <w:r w:rsidRPr="00061D9D">
              <w:rPr>
                <w:rFonts w:asciiTheme="majorHAnsi" w:hAnsiTheme="majorHAnsi" w:cs="Times New Roman"/>
                <w:sz w:val="22"/>
                <w:szCs w:val="22"/>
              </w:rPr>
              <w:t>: 15-30mg/ kg IV/IM</w:t>
            </w:r>
          </w:p>
        </w:tc>
        <w:tc>
          <w:tcPr>
            <w:tcW w:w="2292" w:type="dxa"/>
          </w:tcPr>
          <w:p w:rsidR="00061D9D" w:rsidRPr="00061D9D" w:rsidRDefault="00061D9D" w:rsidP="00061D9D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Acute oral penicillin overdoses are unlikely to cause significant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 xml:space="preserve">problems other than GI distress </w:t>
            </w:r>
            <w:r>
              <w:rPr>
                <w:rFonts w:asciiTheme="majorHAnsi" w:hAnsiTheme="majorHAnsi" w:cs="Times-Roman"/>
                <w:sz w:val="22"/>
                <w:szCs w:val="22"/>
              </w:rPr>
              <w:t>although h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igh doses or very prolonged use has been associated with neurotoxicity.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Although the penicillins are not considered to be hepatotoxic, elevated liver enzymes have been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 xml:space="preserve">reported.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61D9D" w:rsidRPr="00061D9D" w:rsidRDefault="00061D9D" w:rsidP="00061D9D">
            <w:pPr>
              <w:rPr>
                <w:rFonts w:cs="Times New Roman"/>
                <w:sz w:val="22"/>
                <w:szCs w:val="22"/>
              </w:rPr>
            </w:pPr>
            <w:r w:rsidRPr="00061D9D">
              <w:rPr>
                <w:rFonts w:cs="Times New Roman"/>
                <w:sz w:val="22"/>
                <w:szCs w:val="22"/>
              </w:rPr>
              <w:t>Penicillins are contraindicated in</w:t>
            </w:r>
          </w:p>
          <w:p w:rsidR="00061D9D" w:rsidRPr="00061D9D" w:rsidRDefault="00061D9D" w:rsidP="00061D9D">
            <w:pPr>
              <w:rPr>
                <w:rFonts w:cs="Times New Roman"/>
                <w:sz w:val="22"/>
                <w:szCs w:val="22"/>
              </w:rPr>
            </w:pPr>
            <w:r w:rsidRPr="00061D9D">
              <w:rPr>
                <w:rFonts w:cs="Times New Roman"/>
                <w:sz w:val="22"/>
                <w:szCs w:val="22"/>
              </w:rPr>
              <w:t>patients who have a history of hypersensitivity to them. Because there may be cross-reactivity,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61D9D">
              <w:rPr>
                <w:rFonts w:cs="Times New Roman"/>
                <w:sz w:val="22"/>
                <w:szCs w:val="22"/>
              </w:rPr>
              <w:t xml:space="preserve">use penicillins cautiously in patients who are </w:t>
            </w:r>
            <w:r>
              <w:rPr>
                <w:rFonts w:cs="Times New Roman"/>
                <w:sz w:val="22"/>
                <w:szCs w:val="22"/>
              </w:rPr>
              <w:t>d</w:t>
            </w:r>
            <w:r w:rsidRPr="00061D9D">
              <w:rPr>
                <w:rFonts w:cs="Times New Roman"/>
                <w:sz w:val="22"/>
                <w:szCs w:val="22"/>
              </w:rPr>
              <w:t>ocumented hypersensitive to other beta-lactam</w:t>
            </w:r>
          </w:p>
          <w:p w:rsidR="00061D9D" w:rsidRPr="00061D9D" w:rsidRDefault="00061D9D" w:rsidP="00061D9D">
            <w:pPr>
              <w:rPr>
                <w:rFonts w:cs="Times New Roman"/>
                <w:sz w:val="22"/>
                <w:szCs w:val="22"/>
              </w:rPr>
            </w:pPr>
            <w:r w:rsidRPr="00061D9D">
              <w:rPr>
                <w:rFonts w:cs="Times New Roman"/>
                <w:sz w:val="22"/>
                <w:szCs w:val="22"/>
              </w:rPr>
              <w:t>antibiotics (</w:t>
            </w:r>
            <w:r w:rsidRPr="00061D9D">
              <w:rPr>
                <w:rFonts w:cs="Times New Roman"/>
                <w:i/>
                <w:iCs/>
                <w:sz w:val="22"/>
                <w:szCs w:val="22"/>
              </w:rPr>
              <w:t>e.g.</w:t>
            </w:r>
            <w:r w:rsidRPr="00061D9D">
              <w:rPr>
                <w:rFonts w:cs="Times New Roman"/>
                <w:sz w:val="22"/>
                <w:szCs w:val="22"/>
              </w:rPr>
              <w:t>, cephalosporins, cefamycins, carbapenems).</w:t>
            </w:r>
          </w:p>
          <w:p w:rsidR="00061D9D" w:rsidRDefault="00061D9D" w:rsidP="00061D9D">
            <w:pPr>
              <w:rPr>
                <w:rFonts w:ascii="Times-Roman" w:hAnsi="Times-Roman" w:cs="Times-Roman"/>
              </w:rPr>
            </w:pPr>
            <w:r w:rsidRPr="00061D9D">
              <w:rPr>
                <w:rFonts w:cs="Times New Roman"/>
                <w:sz w:val="22"/>
                <w:szCs w:val="22"/>
              </w:rPr>
              <w:t>Do not administer systemic antibiotics orally in patients with septicemia, shock, or other grave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61D9D">
              <w:rPr>
                <w:rFonts w:cs="Times New Roman"/>
                <w:sz w:val="22"/>
                <w:szCs w:val="22"/>
              </w:rPr>
              <w:t>illnesses as absorption of the medication from the GI tract may be significantly delayed or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61D9D">
              <w:rPr>
                <w:rFonts w:cs="Times New Roman"/>
                <w:sz w:val="22"/>
                <w:szCs w:val="22"/>
              </w:rPr>
              <w:t>diminished. Parenteral (preferably IV) routes should be used for these cases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061D9D">
              <w:rPr>
                <w:rFonts w:ascii="Times-Roman" w:hAnsi="Times-Roman" w:cs="Times-Roman"/>
              </w:rPr>
              <w:t xml:space="preserve"> </w:t>
            </w:r>
          </w:p>
          <w:p w:rsidR="00061D9D" w:rsidRPr="00061D9D" w:rsidRDefault="00061D9D" w:rsidP="00061D9D">
            <w:pPr>
              <w:rPr>
                <w:rFonts w:cs="Times New Roman"/>
                <w:sz w:val="22"/>
                <w:szCs w:val="22"/>
              </w:rPr>
            </w:pPr>
            <w:r w:rsidRPr="00061D9D">
              <w:rPr>
                <w:rFonts w:cs="Times New Roman"/>
                <w:sz w:val="22"/>
                <w:szCs w:val="22"/>
              </w:rPr>
              <w:t>Penicillins have been shown to cross the placenta and safe use of them during pregnancy has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61D9D">
              <w:rPr>
                <w:rFonts w:cs="Times New Roman"/>
                <w:sz w:val="22"/>
                <w:szCs w:val="22"/>
              </w:rPr>
              <w:t>not been firmly established, but neither have there been any documented teratogenic problems</w:t>
            </w:r>
          </w:p>
          <w:p w:rsidR="00061D9D" w:rsidRDefault="00061D9D" w:rsidP="00061D9D">
            <w:pPr>
              <w:rPr>
                <w:rFonts w:cs="Times New Roman"/>
                <w:sz w:val="22"/>
                <w:szCs w:val="22"/>
              </w:rPr>
            </w:pPr>
            <w:r w:rsidRPr="00061D9D">
              <w:rPr>
                <w:rFonts w:cs="Times New Roman"/>
                <w:sz w:val="22"/>
                <w:szCs w:val="22"/>
              </w:rPr>
              <w:t>associated with these drugs. However, use only when the potential benefits outweigh the risks.</w:t>
            </w:r>
          </w:p>
          <w:p w:rsidR="00061D9D" w:rsidRPr="00DF17EC" w:rsidRDefault="00061D9D" w:rsidP="00061D9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20" w:type="dxa"/>
          </w:tcPr>
          <w:p w:rsidR="00061D9D" w:rsidRPr="00061D9D" w:rsidRDefault="00061D9D" w:rsidP="00061D9D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Although there may be some slight differences in activity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against certain organisms, amoxicillin generally shares the same spectrum of activity and uses as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ampicillin. Because it is better absorbed orally (in non-ruminants), higher serum levels may be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attained than with ampicillin.</w:t>
            </w:r>
          </w:p>
          <w:p w:rsidR="00061D9D" w:rsidRPr="00061D9D" w:rsidRDefault="00061D9D" w:rsidP="00061D9D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Penicillins are usually bactericidal against susceptible bacteria and act by inhibiting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mucopeptide synthesis in the cell wall resulting in a defective barrier and an osmotically unstable</w:t>
            </w:r>
          </w:p>
          <w:p w:rsidR="00061D9D" w:rsidRPr="00061D9D" w:rsidRDefault="00061D9D" w:rsidP="00061D9D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spheroplast. The exact mechanism for this effect has not been definitively determined, but betalactam</w:t>
            </w:r>
          </w:p>
          <w:p w:rsidR="00061D9D" w:rsidRPr="00061D9D" w:rsidRDefault="00061D9D" w:rsidP="00061D9D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antibiotics have been shown to bind to several enzymes (carboxypeptidases,</w:t>
            </w:r>
          </w:p>
          <w:p w:rsidR="00061D9D" w:rsidRPr="00061D9D" w:rsidRDefault="00061D9D" w:rsidP="00061D9D">
            <w:pPr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transpeptidases, endopeptidases) within the bacterial cytoplasmic membrane that are involved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with cell wall synthesis. The different affinities that various beta-lactam antibiotics have for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these enzymes (also known as penicillin-binding proteins; PBPs) help explain the differences in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spectrums of activity the drugs have that are not explained by the influence of beta-lactamases.</w:t>
            </w:r>
          </w:p>
          <w:p w:rsidR="00061D9D" w:rsidRPr="00061D9D" w:rsidRDefault="00061D9D" w:rsidP="00061D9D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</w:p>
        </w:tc>
        <w:tc>
          <w:tcPr>
            <w:tcW w:w="2359" w:type="dxa"/>
          </w:tcPr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Adverse effects with the penicillins are usually not serious and</w:t>
            </w:r>
            <w:r>
              <w:rPr>
                <w:rFonts w:asciiTheme="majorHAnsi" w:hAnsiTheme="majorHAnsi" w:cs="Times-Roman"/>
                <w:sz w:val="22"/>
                <w:szCs w:val="22"/>
              </w:rPr>
              <w:t xml:space="preserve"> </w:t>
            </w:r>
            <w:r w:rsidRPr="00061D9D">
              <w:rPr>
                <w:rFonts w:asciiTheme="majorHAnsi" w:hAnsiTheme="majorHAnsi" w:cs="Times-Roman"/>
                <w:sz w:val="22"/>
                <w:szCs w:val="22"/>
              </w:rPr>
              <w:t>have a relatively low frequency of occurrence.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Hypersensitivity reactions unrelated to dose can occur with these agents and can be manifested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as rashes, fever, eosinophilia, neutropenia, agranulocytosis, thrombocytopenia, leukopenia,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 xml:space="preserve">anemias, lymphadenopathy, or full blown naphylaxis. 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When given orally, penicillins may cause GI effects (anorexia, vomiting, diarrhea). Because the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penicillins may also alter gut flora, antibiotic-associated diarrhea can occur, as well as selecting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</w:rPr>
            </w:pPr>
            <w:r w:rsidRPr="00061D9D">
              <w:rPr>
                <w:rFonts w:asciiTheme="majorHAnsi" w:hAnsiTheme="majorHAnsi" w:cs="Times-Roman"/>
                <w:sz w:val="22"/>
                <w:szCs w:val="22"/>
              </w:rPr>
              <w:t>out resistant bacteria maintaining residence in the colon of the animal (superinfections).</w:t>
            </w:r>
          </w:p>
          <w:p w:rsidR="00061D9D" w:rsidRPr="00061D9D" w:rsidRDefault="00061D9D" w:rsidP="00061D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</w:p>
        </w:tc>
      </w:tr>
    </w:tbl>
    <w:p w:rsidR="00105717" w:rsidRPr="006F6D5E" w:rsidRDefault="00BD3499" w:rsidP="00BD3499">
      <w:pPr>
        <w:tabs>
          <w:tab w:val="left" w:pos="1976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sectPr w:rsidR="00105717" w:rsidRPr="006F6D5E" w:rsidSect="001E569D">
      <w:pgSz w:w="20160" w:h="12240" w:orient="landscape" w:code="5"/>
      <w:pgMar w:top="36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145" w:rsidRDefault="00483145" w:rsidP="001E569D">
      <w:pPr>
        <w:spacing w:after="0" w:line="240" w:lineRule="auto"/>
      </w:pPr>
      <w:r>
        <w:separator/>
      </w:r>
    </w:p>
  </w:endnote>
  <w:endnote w:type="continuationSeparator" w:id="0">
    <w:p w:rsidR="00483145" w:rsidRDefault="00483145" w:rsidP="001E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145" w:rsidRDefault="00483145" w:rsidP="001E569D">
      <w:pPr>
        <w:spacing w:after="0" w:line="240" w:lineRule="auto"/>
      </w:pPr>
      <w:r>
        <w:separator/>
      </w:r>
    </w:p>
  </w:footnote>
  <w:footnote w:type="continuationSeparator" w:id="0">
    <w:p w:rsidR="00483145" w:rsidRDefault="00483145" w:rsidP="001E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9FD"/>
    <w:multiLevelType w:val="hybridMultilevel"/>
    <w:tmpl w:val="DD72E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36F2"/>
    <w:multiLevelType w:val="hybridMultilevel"/>
    <w:tmpl w:val="BEB84560"/>
    <w:lvl w:ilvl="0" w:tplc="DA964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1616"/>
    <w:multiLevelType w:val="hybridMultilevel"/>
    <w:tmpl w:val="9C26F350"/>
    <w:lvl w:ilvl="0" w:tplc="74848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26E"/>
    <w:multiLevelType w:val="hybridMultilevel"/>
    <w:tmpl w:val="86EEB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1"/>
    <w:rsid w:val="00020761"/>
    <w:rsid w:val="00061D9D"/>
    <w:rsid w:val="000664D1"/>
    <w:rsid w:val="00105717"/>
    <w:rsid w:val="001840FE"/>
    <w:rsid w:val="001E0472"/>
    <w:rsid w:val="001E569D"/>
    <w:rsid w:val="0033317B"/>
    <w:rsid w:val="00483145"/>
    <w:rsid w:val="005A194B"/>
    <w:rsid w:val="00614BE3"/>
    <w:rsid w:val="006650DF"/>
    <w:rsid w:val="006D0689"/>
    <w:rsid w:val="006F6D5E"/>
    <w:rsid w:val="007D44F1"/>
    <w:rsid w:val="00882DD1"/>
    <w:rsid w:val="00892D2F"/>
    <w:rsid w:val="009071E2"/>
    <w:rsid w:val="0093134A"/>
    <w:rsid w:val="00970CAA"/>
    <w:rsid w:val="00A808A0"/>
    <w:rsid w:val="00AD7CE2"/>
    <w:rsid w:val="00B31DA8"/>
    <w:rsid w:val="00BC3B5F"/>
    <w:rsid w:val="00BD3499"/>
    <w:rsid w:val="00C476D1"/>
    <w:rsid w:val="00C65D35"/>
    <w:rsid w:val="00ED0441"/>
    <w:rsid w:val="00EF14B5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BEC4"/>
  <w15:docId w15:val="{38EF5C97-DE63-473E-8708-EEBDAFD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41"/>
    <w:rPr>
      <w:lang w:val="en-T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1"/>
    <w:rPr>
      <w:rFonts w:ascii="Tahoma" w:hAnsi="Tahoma" w:cs="Tahoma"/>
      <w:sz w:val="16"/>
      <w:szCs w:val="16"/>
      <w:lang w:val="en-TT"/>
    </w:rPr>
  </w:style>
  <w:style w:type="paragraph" w:styleId="NormalWeb">
    <w:name w:val="Normal (Web)"/>
    <w:basedOn w:val="Normal"/>
    <w:uiPriority w:val="99"/>
    <w:unhideWhenUsed/>
    <w:rsid w:val="0088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69D"/>
    <w:rPr>
      <w:lang w:val="en-TT"/>
    </w:rPr>
  </w:style>
  <w:style w:type="paragraph" w:styleId="Footer">
    <w:name w:val="footer"/>
    <w:basedOn w:val="Normal"/>
    <w:link w:val="Foot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69D"/>
    <w:rPr>
      <w:lang w:val="en-TT"/>
    </w:rPr>
  </w:style>
  <w:style w:type="paragraph" w:styleId="ListParagraph">
    <w:name w:val="List Paragraph"/>
    <w:basedOn w:val="Normal"/>
    <w:uiPriority w:val="34"/>
    <w:qFormat/>
    <w:rsid w:val="006F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Maharaj</dc:creator>
  <cp:lastModifiedBy>Krystal Maharaj</cp:lastModifiedBy>
  <cp:revision>2</cp:revision>
  <dcterms:created xsi:type="dcterms:W3CDTF">2018-09-07T23:41:00Z</dcterms:created>
  <dcterms:modified xsi:type="dcterms:W3CDTF">2018-09-07T23:41:00Z</dcterms:modified>
</cp:coreProperties>
</file>