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58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020"/>
        <w:gridCol w:w="1169"/>
        <w:gridCol w:w="3995"/>
        <w:gridCol w:w="2533"/>
        <w:gridCol w:w="2436"/>
        <w:gridCol w:w="2241"/>
        <w:gridCol w:w="4189"/>
      </w:tblGrid>
      <w:tr w:rsidR="00FA425E" w:rsidRPr="00FA425E" w:rsidTr="00F8756C">
        <w:trPr>
          <w:trHeight w:val="741"/>
        </w:trPr>
        <w:tc>
          <w:tcPr>
            <w:tcW w:w="3020" w:type="dxa"/>
          </w:tcPr>
          <w:p w:rsidR="00FA425E" w:rsidRPr="00FA425E" w:rsidRDefault="00FA425E" w:rsidP="00FA425E">
            <w:pPr>
              <w:rPr>
                <w:rFonts w:eastAsia="Calibri" w:cs="Times New Roman"/>
                <w:b/>
              </w:rPr>
            </w:pPr>
            <w:r w:rsidRPr="00FA425E">
              <w:rPr>
                <w:rFonts w:eastAsia="Calibri" w:cs="Times New Roman"/>
                <w:b/>
              </w:rPr>
              <w:t>Drug</w:t>
            </w:r>
          </w:p>
        </w:tc>
        <w:tc>
          <w:tcPr>
            <w:tcW w:w="1169" w:type="dxa"/>
          </w:tcPr>
          <w:p w:rsidR="00FA425E" w:rsidRPr="00FA425E" w:rsidRDefault="00FA425E" w:rsidP="00FA425E">
            <w:pPr>
              <w:rPr>
                <w:rFonts w:eastAsia="Calibri" w:cs="Times New Roman"/>
                <w:b/>
              </w:rPr>
            </w:pPr>
            <w:r w:rsidRPr="00FA425E">
              <w:rPr>
                <w:rFonts w:eastAsia="Calibri" w:cs="Times New Roman"/>
                <w:b/>
              </w:rPr>
              <w:t>Species</w:t>
            </w:r>
          </w:p>
        </w:tc>
        <w:tc>
          <w:tcPr>
            <w:tcW w:w="3995" w:type="dxa"/>
          </w:tcPr>
          <w:p w:rsidR="00FA425E" w:rsidRPr="00FA425E" w:rsidRDefault="00FA425E" w:rsidP="00FA425E">
            <w:pPr>
              <w:rPr>
                <w:rFonts w:eastAsia="Calibri" w:cs="Times New Roman"/>
                <w:b/>
              </w:rPr>
            </w:pPr>
            <w:r w:rsidRPr="00FA425E">
              <w:rPr>
                <w:rFonts w:eastAsia="Calibri" w:cs="Times New Roman"/>
                <w:b/>
              </w:rPr>
              <w:t>Indications</w:t>
            </w:r>
          </w:p>
        </w:tc>
        <w:tc>
          <w:tcPr>
            <w:tcW w:w="2533" w:type="dxa"/>
          </w:tcPr>
          <w:p w:rsidR="00FA425E" w:rsidRPr="00FA425E" w:rsidRDefault="00FA425E" w:rsidP="00FA425E">
            <w:pPr>
              <w:rPr>
                <w:rFonts w:eastAsia="Calibri" w:cs="Times New Roman"/>
                <w:b/>
              </w:rPr>
            </w:pPr>
            <w:r w:rsidRPr="00FA425E">
              <w:rPr>
                <w:rFonts w:eastAsia="Calibri" w:cs="Times New Roman"/>
                <w:b/>
              </w:rPr>
              <w:t>Therapeutic Dose</w:t>
            </w:r>
          </w:p>
        </w:tc>
        <w:tc>
          <w:tcPr>
            <w:tcW w:w="2436" w:type="dxa"/>
          </w:tcPr>
          <w:p w:rsidR="00FA425E" w:rsidRPr="00FA425E" w:rsidRDefault="00FA425E" w:rsidP="00FA425E">
            <w:pPr>
              <w:rPr>
                <w:rFonts w:eastAsia="Calibri" w:cs="Times New Roman"/>
                <w:b/>
              </w:rPr>
            </w:pPr>
            <w:r w:rsidRPr="00FA425E">
              <w:rPr>
                <w:rFonts w:eastAsia="Calibri" w:cs="Times New Roman"/>
                <w:b/>
              </w:rPr>
              <w:t>Contraindications</w:t>
            </w:r>
          </w:p>
        </w:tc>
        <w:tc>
          <w:tcPr>
            <w:tcW w:w="2241" w:type="dxa"/>
          </w:tcPr>
          <w:p w:rsidR="00FA425E" w:rsidRPr="00FA425E" w:rsidRDefault="00FA425E" w:rsidP="00FA425E">
            <w:pPr>
              <w:rPr>
                <w:rFonts w:eastAsia="Calibri" w:cs="Times New Roman"/>
                <w:b/>
              </w:rPr>
            </w:pPr>
            <w:r w:rsidRPr="00FA425E">
              <w:rPr>
                <w:rFonts w:eastAsia="Calibri" w:cs="Times New Roman"/>
                <w:b/>
              </w:rPr>
              <w:t>Pharmacology</w:t>
            </w:r>
          </w:p>
        </w:tc>
        <w:tc>
          <w:tcPr>
            <w:tcW w:w="4189" w:type="dxa"/>
          </w:tcPr>
          <w:p w:rsidR="00FA425E" w:rsidRPr="00FA425E" w:rsidRDefault="00FA425E" w:rsidP="00FA425E">
            <w:pPr>
              <w:rPr>
                <w:rFonts w:eastAsia="Calibri" w:cs="Times New Roman"/>
                <w:b/>
              </w:rPr>
            </w:pPr>
            <w:r w:rsidRPr="00FA425E">
              <w:rPr>
                <w:rFonts w:eastAsia="Calibri" w:cs="Times New Roman"/>
                <w:b/>
              </w:rPr>
              <w:t>Toxicity</w:t>
            </w:r>
          </w:p>
        </w:tc>
      </w:tr>
      <w:tr w:rsidR="00FA425E" w:rsidRPr="00FA425E" w:rsidTr="00F8756C">
        <w:trPr>
          <w:trHeight w:val="9323"/>
        </w:trPr>
        <w:tc>
          <w:tcPr>
            <w:tcW w:w="3020" w:type="dxa"/>
          </w:tcPr>
          <w:p w:rsidR="00FA425E" w:rsidRPr="00FA425E" w:rsidRDefault="00FA425E" w:rsidP="00FA425E">
            <w:pPr>
              <w:rPr>
                <w:rFonts w:eastAsia="Calibri" w:cs="Times New Roman"/>
              </w:rPr>
            </w:pPr>
            <w:proofErr w:type="spellStart"/>
            <w:r w:rsidRPr="00FA425E">
              <w:rPr>
                <w:rFonts w:eastAsia="Calibri" w:cs="Times New Roman"/>
              </w:rPr>
              <w:t>Phenylbutakel</w:t>
            </w:r>
            <w:proofErr w:type="spellEnd"/>
            <w:r w:rsidRPr="00FA425E">
              <w:rPr>
                <w:rFonts w:eastAsia="Calibri" w:cs="Times New Roman"/>
                <w:vertAlign w:val="superscript"/>
              </w:rPr>
              <w:t xml:space="preserve">® </w:t>
            </w:r>
            <w:r w:rsidRPr="00FA425E">
              <w:rPr>
                <w:rFonts w:eastAsia="Calibri" w:cs="Times New Roman"/>
              </w:rPr>
              <w:t xml:space="preserve">20 </w:t>
            </w:r>
          </w:p>
          <w:p w:rsidR="00FA425E" w:rsidRPr="00FA425E" w:rsidRDefault="00FA425E" w:rsidP="00FA425E">
            <w:pPr>
              <w:rPr>
                <w:rFonts w:eastAsia="Calibri" w:cs="Times New Roman"/>
              </w:rPr>
            </w:pPr>
          </w:p>
          <w:p w:rsidR="00FA425E" w:rsidRPr="00FA425E" w:rsidRDefault="00FA425E" w:rsidP="00FA425E">
            <w:pPr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  <w:noProof/>
              </w:rPr>
              <w:drawing>
                <wp:inline distT="0" distB="0" distL="0" distR="0" wp14:anchorId="1A1434B4" wp14:editId="1436A8D9">
                  <wp:extent cx="1363182" cy="2624751"/>
                  <wp:effectExtent l="19050" t="0" r="8418" b="0"/>
                  <wp:docPr id="9" name="Picture 3" descr="E:\Dr. Diptee Introduction and Lab 1\las\Drugs\IMG_20180904_144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r. Diptee Introduction and Lab 1\las\Drugs\IMG_20180904_144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383" t="4651" r="70650" b="34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182" cy="2624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</w:tcPr>
          <w:p w:rsidR="00FA425E" w:rsidRPr="00FA425E" w:rsidRDefault="00FA425E" w:rsidP="00FA425E">
            <w:pPr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>Cattle, Horses, Pigs</w:t>
            </w:r>
          </w:p>
        </w:tc>
        <w:tc>
          <w:tcPr>
            <w:tcW w:w="3995" w:type="dxa"/>
          </w:tcPr>
          <w:p w:rsidR="00FA425E" w:rsidRPr="00FA425E" w:rsidRDefault="00FA425E" w:rsidP="00FA425E">
            <w:pPr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>A nonsteroidal anti-inflammatory drug with excellent anti-inflammatory, analgesic and antipyretic properties. </w:t>
            </w:r>
            <w:r w:rsidRPr="00FA425E">
              <w:rPr>
                <w:rFonts w:eastAsia="Calibri" w:cs="Times New Roman"/>
              </w:rPr>
              <w:br/>
              <w:t>For control of inflammation, subsequent tissue damage and associated pain.</w:t>
            </w:r>
            <w:r w:rsidRPr="00FA425E">
              <w:rPr>
                <w:rFonts w:eastAsia="Calibri" w:cs="Times New Roman"/>
              </w:rPr>
              <w:br/>
              <w:t>Phenylbutazone is especially of value for relief of acute inflammatory conditions associated with the musculoskeletal system and lameness.</w:t>
            </w:r>
            <w:r w:rsidRPr="00FA425E">
              <w:rPr>
                <w:rFonts w:eastAsia="Calibri" w:cs="Times New Roman"/>
              </w:rPr>
              <w:br/>
            </w:r>
            <w:proofErr w:type="gramStart"/>
            <w:r w:rsidRPr="00FA425E">
              <w:rPr>
                <w:rFonts w:eastAsia="Calibri" w:cs="Times New Roman"/>
              </w:rPr>
              <w:t>Particular uses</w:t>
            </w:r>
            <w:proofErr w:type="gramEnd"/>
            <w:r w:rsidRPr="00FA425E">
              <w:rPr>
                <w:rFonts w:eastAsia="Calibri" w:cs="Times New Roman"/>
              </w:rPr>
              <w:t xml:space="preserve">: Laminitis in cattle and horses, lymphangitis in horses, soft tissue reactions and pain associated with e.g. wounds, fractures, bruises, </w:t>
            </w:r>
            <w:proofErr w:type="spellStart"/>
            <w:r w:rsidRPr="00FA425E">
              <w:rPr>
                <w:rFonts w:eastAsia="Calibri" w:cs="Times New Roman"/>
              </w:rPr>
              <w:t>etc</w:t>
            </w:r>
            <w:proofErr w:type="spellEnd"/>
          </w:p>
        </w:tc>
        <w:tc>
          <w:tcPr>
            <w:tcW w:w="2533" w:type="dxa"/>
          </w:tcPr>
          <w:p w:rsidR="00FA425E" w:rsidRDefault="00FA425E" w:rsidP="00FA425E">
            <w:pPr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 xml:space="preserve">Deep intramuscular or slow intravenous routes of administration. </w:t>
            </w:r>
          </w:p>
          <w:p w:rsidR="00546CC1" w:rsidRPr="00FA425E" w:rsidRDefault="00546CC1" w:rsidP="00FA425E">
            <w:pPr>
              <w:rPr>
                <w:rFonts w:eastAsia="Calibri" w:cs="Times New Roman"/>
              </w:rPr>
            </w:pPr>
          </w:p>
          <w:p w:rsidR="00FA425E" w:rsidRPr="00FA425E" w:rsidRDefault="00FA425E" w:rsidP="00FA425E">
            <w:pPr>
              <w:rPr>
                <w:rFonts w:eastAsia="Calibri" w:cs="Times New Roman"/>
              </w:rPr>
            </w:pPr>
            <w:r w:rsidRPr="00546CC1">
              <w:rPr>
                <w:rFonts w:eastAsia="Calibri" w:cs="Times New Roman"/>
                <w:b/>
              </w:rPr>
              <w:t>Cattle</w:t>
            </w:r>
            <w:r w:rsidRPr="00FA425E">
              <w:rPr>
                <w:rFonts w:eastAsia="Calibri" w:cs="Times New Roman"/>
              </w:rPr>
              <w:t xml:space="preserve">: initial dose: </w:t>
            </w:r>
          </w:p>
          <w:p w:rsidR="00FA425E" w:rsidRPr="00FA425E" w:rsidRDefault="00FA425E" w:rsidP="00FA425E">
            <w:pPr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>1 mL/ 25kg, maintenance dose: 1mL/ 50-70 kg/ day or every 2 days I.V. or I.M. (max. 5 days)</w:t>
            </w:r>
          </w:p>
          <w:p w:rsidR="00FA425E" w:rsidRDefault="00FA425E" w:rsidP="00FA425E">
            <w:pPr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>Calves: 1 ml/50 kg with 2-days intervals</w:t>
            </w:r>
          </w:p>
          <w:p w:rsidR="00546CC1" w:rsidRPr="00FA425E" w:rsidRDefault="00546CC1" w:rsidP="00FA425E">
            <w:pPr>
              <w:rPr>
                <w:rFonts w:eastAsia="Calibri" w:cs="Times New Roman"/>
              </w:rPr>
            </w:pPr>
          </w:p>
          <w:p w:rsidR="00FA425E" w:rsidRDefault="00FA425E" w:rsidP="00FA425E">
            <w:pPr>
              <w:rPr>
                <w:rFonts w:eastAsia="Calibri" w:cs="Times New Roman"/>
              </w:rPr>
            </w:pPr>
            <w:r w:rsidRPr="00546CC1">
              <w:rPr>
                <w:rFonts w:eastAsia="Calibri" w:cs="Times New Roman"/>
                <w:b/>
              </w:rPr>
              <w:t>Horses</w:t>
            </w:r>
            <w:r w:rsidRPr="00FA425E">
              <w:rPr>
                <w:rFonts w:eastAsia="Calibri" w:cs="Times New Roman"/>
              </w:rPr>
              <w:t>: 1mL/50 kg/day I.V. (max. 5 days)</w:t>
            </w:r>
          </w:p>
          <w:p w:rsidR="00546CC1" w:rsidRPr="00FA425E" w:rsidRDefault="00546CC1" w:rsidP="00FA425E">
            <w:pPr>
              <w:rPr>
                <w:rFonts w:eastAsia="Calibri" w:cs="Times New Roman"/>
              </w:rPr>
            </w:pPr>
          </w:p>
          <w:p w:rsidR="00FA425E" w:rsidRPr="00FA425E" w:rsidRDefault="00FA425E" w:rsidP="00FA425E">
            <w:pPr>
              <w:rPr>
                <w:rFonts w:eastAsia="Calibri" w:cs="Times New Roman"/>
              </w:rPr>
            </w:pPr>
            <w:r w:rsidRPr="00546CC1">
              <w:rPr>
                <w:rFonts w:eastAsia="Calibri" w:cs="Times New Roman"/>
                <w:b/>
              </w:rPr>
              <w:t>Pigs</w:t>
            </w:r>
            <w:r w:rsidRPr="00FA425E">
              <w:rPr>
                <w:rFonts w:eastAsia="Calibri" w:cs="Times New Roman"/>
              </w:rPr>
              <w:t>: 1 Ml/50 kg/ day I.M.</w:t>
            </w:r>
          </w:p>
          <w:p w:rsidR="00FA425E" w:rsidRPr="00FA425E" w:rsidRDefault="00FA425E" w:rsidP="00FA425E">
            <w:pPr>
              <w:rPr>
                <w:rFonts w:eastAsia="Calibri" w:cs="Times New Roman"/>
              </w:rPr>
            </w:pPr>
          </w:p>
        </w:tc>
        <w:tc>
          <w:tcPr>
            <w:tcW w:w="2436" w:type="dxa"/>
          </w:tcPr>
          <w:p w:rsidR="00FA425E" w:rsidRPr="00FA425E" w:rsidRDefault="00FA425E" w:rsidP="00FA425E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>Do not administer injectable preparation IM or SC, as it is very irritating (swelling, to necrosis</w:t>
            </w:r>
          </w:p>
          <w:p w:rsidR="00FA425E" w:rsidRPr="00FA425E" w:rsidRDefault="00FA425E" w:rsidP="00FA425E">
            <w:pPr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>and sloughing). Intracarotid injections may cause CNS stimulation and seizures.,</w:t>
            </w:r>
          </w:p>
        </w:tc>
        <w:tc>
          <w:tcPr>
            <w:tcW w:w="2241" w:type="dxa"/>
          </w:tcPr>
          <w:p w:rsidR="00FA425E" w:rsidRPr="00FA425E" w:rsidRDefault="00FA425E" w:rsidP="00FA425E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>An analgesic, anti-inflammatory, antipyretic, and mild</w:t>
            </w:r>
            <w:r w:rsidR="00546CC1">
              <w:rPr>
                <w:rFonts w:eastAsia="Calibri" w:cs="Times New Roman"/>
              </w:rPr>
              <w:t xml:space="preserve"> </w:t>
            </w:r>
            <w:proofErr w:type="spellStart"/>
            <w:r w:rsidRPr="00FA425E">
              <w:rPr>
                <w:rFonts w:eastAsia="Calibri" w:cs="Times New Roman"/>
              </w:rPr>
              <w:t>uricosuric</w:t>
            </w:r>
            <w:proofErr w:type="spellEnd"/>
            <w:r w:rsidRPr="00FA425E">
              <w:rPr>
                <w:rFonts w:eastAsia="Calibri" w:cs="Times New Roman"/>
              </w:rPr>
              <w:t xml:space="preserve"> properties. The proposed mechanism of action is by the inhibition of cyclooxygenase,</w:t>
            </w:r>
          </w:p>
          <w:p w:rsidR="00FA425E" w:rsidRPr="00FA425E" w:rsidRDefault="00FA425E" w:rsidP="00FA425E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>thereby reducing prostaglandin synthesis. Other pharmacologic actions may</w:t>
            </w:r>
          </w:p>
          <w:p w:rsidR="00FA425E" w:rsidRPr="00FA425E" w:rsidRDefault="00FA425E" w:rsidP="00FA425E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>induce include reduced renal blood flow and decreased glomerular filtration rate, decreased</w:t>
            </w:r>
          </w:p>
          <w:p w:rsidR="00FA425E" w:rsidRPr="00FA425E" w:rsidRDefault="00FA425E" w:rsidP="00FA425E">
            <w:pPr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>platelet aggregation, and gastric mucosal damage.</w:t>
            </w:r>
          </w:p>
        </w:tc>
        <w:tc>
          <w:tcPr>
            <w:tcW w:w="4189" w:type="dxa"/>
          </w:tcPr>
          <w:p w:rsidR="00FA425E" w:rsidRPr="00FA425E" w:rsidRDefault="00FA425E" w:rsidP="00FA425E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>Toxic effects that have been reported in horses include</w:t>
            </w:r>
          </w:p>
          <w:p w:rsidR="00FA425E" w:rsidRPr="00FA425E" w:rsidRDefault="00FA425E" w:rsidP="00FA425E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>oral and GI erosions and ulcers, hypoalbuminemia, diarrhea, anorexia, and renal effects</w:t>
            </w:r>
          </w:p>
          <w:p w:rsidR="00FA425E" w:rsidRPr="00FA425E" w:rsidRDefault="00FA425E" w:rsidP="00FA425E">
            <w:pPr>
              <w:rPr>
                <w:rFonts w:eastAsia="Calibri" w:cs="Times New Roman"/>
              </w:rPr>
            </w:pPr>
            <w:r w:rsidRPr="00FA425E">
              <w:rPr>
                <w:rFonts w:eastAsia="Calibri" w:cs="Times New Roman"/>
              </w:rPr>
              <w:t>(azotemia, renal papillary necrosis).</w:t>
            </w:r>
          </w:p>
        </w:tc>
      </w:tr>
    </w:tbl>
    <w:p w:rsidR="00FA425E" w:rsidRPr="00FA425E" w:rsidRDefault="00FA425E" w:rsidP="00FA425E">
      <w:pPr>
        <w:spacing w:before="0" w:after="200" w:line="276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FA425E" w:rsidRDefault="00FA425E" w:rsidP="00FA425E">
      <w:pPr>
        <w:spacing w:before="0" w:after="200" w:line="276" w:lineRule="auto"/>
        <w:jc w:val="left"/>
        <w:rPr>
          <w:rFonts w:ascii="Cambria" w:eastAsia="Calibri" w:hAnsi="Cambria" w:cs="Times New Roman"/>
          <w:sz w:val="24"/>
          <w:szCs w:val="24"/>
        </w:rPr>
      </w:pPr>
      <w:r w:rsidRPr="00FA425E">
        <w:rPr>
          <w:rFonts w:ascii="Cambria" w:eastAsia="Calibri" w:hAnsi="Cambria" w:cs="Times New Roman"/>
          <w:sz w:val="24"/>
          <w:szCs w:val="24"/>
        </w:rPr>
        <w:t>*</w:t>
      </w:r>
      <w:bookmarkStart w:id="0" w:name="_GoBack"/>
      <w:bookmarkEnd w:id="0"/>
    </w:p>
    <w:sectPr w:rsidR="00FA425E" w:rsidSect="00FA425E">
      <w:pgSz w:w="20160" w:h="12240" w:orient="landscape" w:code="5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5E"/>
    <w:rsid w:val="000B719E"/>
    <w:rsid w:val="00546CC1"/>
    <w:rsid w:val="00E573C1"/>
    <w:rsid w:val="00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07F6"/>
  <w15:chartTrackingRefBased/>
  <w15:docId w15:val="{DABC7F11-5412-4D44-89B2-144A41A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25E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3</cp:revision>
  <dcterms:created xsi:type="dcterms:W3CDTF">2018-09-08T03:12:00Z</dcterms:created>
  <dcterms:modified xsi:type="dcterms:W3CDTF">2018-09-08T05:21:00Z</dcterms:modified>
</cp:coreProperties>
</file>