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30" w:rsidRDefault="00566BD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LDD (Lenguaje de Definición de Datos)</w:t>
      </w:r>
    </w:p>
    <w:p w:rsidR="00566BDD" w:rsidRPr="00566BDD" w:rsidRDefault="00566BDD" w:rsidP="00566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 LDD sirve para especificar el esquema de la base datos, que son un conjunto de definiciones”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55311745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Sil02 \p 7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66BDD">
            <w:rPr>
              <w:rFonts w:ascii="Times New Roman" w:hAnsi="Times New Roman" w:cs="Times New Roman"/>
              <w:noProof/>
              <w:sz w:val="24"/>
              <w:szCs w:val="24"/>
            </w:rPr>
            <w:t>(Silberschatz, F. Korth, &amp; Sudarshan, 2002,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66BDD" w:rsidRPr="00566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8E"/>
    <w:rsid w:val="004E7130"/>
    <w:rsid w:val="00566BDD"/>
    <w:rsid w:val="00A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C1A4"/>
  <w15:chartTrackingRefBased/>
  <w15:docId w15:val="{13DCC30C-B8F1-4C4D-B7DD-D33D32D2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{8D117569-E86F-4988-B61E-97042A330C21}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España</b:City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853777BB-9A0C-4698-8BAB-ACB41B7C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2018-02-13T14:04:00Z</dcterms:created>
  <dcterms:modified xsi:type="dcterms:W3CDTF">2018-02-13T14:08:00Z</dcterms:modified>
</cp:coreProperties>
</file>