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D8" w:rsidRDefault="00CD5754" w:rsidP="00CD5754">
      <w:pPr>
        <w:jc w:val="center"/>
      </w:pPr>
      <w:r>
        <w:t>‘</w:t>
      </w:r>
      <w:r w:rsidRPr="00CD5754">
        <w:rPr>
          <w:rFonts w:ascii="Monotype Corsiva" w:hAnsi="Monotype Corsiva"/>
          <w:color w:val="5F497A" w:themeColor="accent4" w:themeShade="BF"/>
          <w:sz w:val="40"/>
          <w:szCs w:val="40"/>
        </w:rPr>
        <w:t>Tie Forward</w:t>
      </w:r>
      <w:r>
        <w:rPr>
          <w:rFonts w:ascii="Monotype Corsiva" w:hAnsi="Monotype Corsiva"/>
          <w:color w:val="5F497A" w:themeColor="accent4" w:themeShade="BF"/>
          <w:sz w:val="40"/>
          <w:szCs w:val="40"/>
        </w:rPr>
        <w:t>’</w:t>
      </w:r>
      <w:r w:rsidRPr="00CD5754">
        <w:rPr>
          <w:rFonts w:ascii="Monotype Corsiva" w:hAnsi="Monotype Corsiva"/>
          <w:color w:val="5F497A" w:themeColor="accent4" w:themeShade="BF"/>
          <w:sz w:val="40"/>
          <w:szCs w:val="40"/>
        </w:rPr>
        <w:t xml:space="preserve"> Surgery</w:t>
      </w:r>
    </w:p>
    <w:p w:rsidR="00CD5754" w:rsidRDefault="00CD5754" w:rsidP="00CD5754">
      <w:pPr>
        <w:jc w:val="center"/>
      </w:pPr>
      <w:r>
        <w:rPr>
          <w:noProof/>
          <w:lang w:eastAsia="en-JM"/>
        </w:rPr>
        <w:drawing>
          <wp:inline distT="0" distB="0" distL="0" distR="0">
            <wp:extent cx="4648200" cy="6029325"/>
            <wp:effectExtent l="19050" t="0" r="0" b="0"/>
            <wp:docPr id="1" name="Picture 1" descr="http://cmapspublic3.ihmc.us/rid=1QPJ4QY6B-DG9LKH-1GCM/surgical%20procedure%20-%20tieforw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apspublic3.ihmc.us/rid=1QPJ4QY6B-DG9LKH-1GCM/surgical%20procedure%20-%20tieforwar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37" t="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754" w:rsidRDefault="00CD5754"/>
    <w:p w:rsidR="00CD5754" w:rsidRPr="00CD5754" w:rsidRDefault="00CD5754">
      <w:pPr>
        <w:rPr>
          <w:rFonts w:ascii="AR CENA" w:hAnsi="AR CENA"/>
          <w:color w:val="5F497A" w:themeColor="accent4" w:themeShade="BF"/>
          <w:sz w:val="32"/>
          <w:szCs w:val="32"/>
        </w:rPr>
      </w:pPr>
      <w:r w:rsidRPr="00CD5754">
        <w:rPr>
          <w:rFonts w:ascii="AR CENA" w:hAnsi="AR CENA"/>
          <w:color w:val="5F497A" w:themeColor="accent4" w:themeShade="BF"/>
          <w:sz w:val="32"/>
          <w:szCs w:val="32"/>
        </w:rPr>
        <w:t xml:space="preserve">Procedure 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- The horse is placed under general anaesthesia in dorsal </w:t>
      </w:r>
      <w:proofErr w:type="spellStart"/>
      <w:r w:rsidRPr="00CD5754">
        <w:rPr>
          <w:rFonts w:ascii="AR CENA" w:hAnsi="AR CENA"/>
          <w:sz w:val="28"/>
          <w:szCs w:val="28"/>
        </w:rPr>
        <w:t>recumbency</w:t>
      </w:r>
      <w:proofErr w:type="spellEnd"/>
      <w:r w:rsidRPr="00CD5754">
        <w:rPr>
          <w:rFonts w:ascii="AR CENA" w:hAnsi="AR CENA"/>
          <w:sz w:val="28"/>
          <w:szCs w:val="28"/>
        </w:rPr>
        <w:t xml:space="preserve"> and </w:t>
      </w:r>
      <w:proofErr w:type="spellStart"/>
      <w:r w:rsidRPr="00CD5754">
        <w:rPr>
          <w:rFonts w:ascii="AR CENA" w:hAnsi="AR CENA"/>
          <w:sz w:val="28"/>
          <w:szCs w:val="28"/>
        </w:rPr>
        <w:t>endotracheal</w:t>
      </w:r>
      <w:proofErr w:type="spellEnd"/>
      <w:r w:rsidRPr="00CD5754">
        <w:rPr>
          <w:rFonts w:ascii="AR CENA" w:hAnsi="AR CENA"/>
          <w:sz w:val="28"/>
          <w:szCs w:val="28"/>
        </w:rPr>
        <w:t xml:space="preserve"> intubation is performed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- A 15cm ventral midline incision is made, extending from the </w:t>
      </w:r>
      <w:proofErr w:type="spellStart"/>
      <w:r w:rsidRPr="00CD5754">
        <w:rPr>
          <w:rFonts w:ascii="AR CENA" w:hAnsi="AR CENA"/>
          <w:sz w:val="28"/>
          <w:szCs w:val="28"/>
        </w:rPr>
        <w:t>rostral</w:t>
      </w:r>
      <w:proofErr w:type="spellEnd"/>
      <w:r w:rsidRPr="00CD5754">
        <w:rPr>
          <w:rFonts w:ascii="AR CENA" w:hAnsi="AR CENA"/>
          <w:sz w:val="28"/>
          <w:szCs w:val="28"/>
        </w:rPr>
        <w:t xml:space="preserve"> aspect of the </w:t>
      </w:r>
      <w:proofErr w:type="spellStart"/>
      <w:r w:rsidRPr="00CD5754">
        <w:rPr>
          <w:rFonts w:ascii="AR CENA" w:hAnsi="AR CENA"/>
          <w:sz w:val="28"/>
          <w:szCs w:val="28"/>
        </w:rPr>
        <w:t>basihyoid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bone to 1cm caudal to the cricoids cartilage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lastRenderedPageBreak/>
        <w:t xml:space="preserve">- The paired </w:t>
      </w:r>
      <w:proofErr w:type="spellStart"/>
      <w:r w:rsidRPr="00CD5754">
        <w:rPr>
          <w:rFonts w:ascii="AR CENA" w:hAnsi="AR CENA"/>
          <w:sz w:val="28"/>
          <w:szCs w:val="28"/>
        </w:rPr>
        <w:t>sternohyoid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muscles are bluntly separated on the midline, and dissection is bluntly extended to the ventral aspect of the larynx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The </w:t>
      </w:r>
      <w:proofErr w:type="spellStart"/>
      <w:r w:rsidRPr="00CD5754">
        <w:rPr>
          <w:rFonts w:ascii="AR CENA" w:hAnsi="AR CENA"/>
          <w:sz w:val="28"/>
          <w:szCs w:val="28"/>
        </w:rPr>
        <w:t>sternothyroid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muscle tendon of insertion on the thyroid cartilage lamina is undermined and isolated in preparation for transaction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One size 5 </w:t>
      </w:r>
      <w:proofErr w:type="spellStart"/>
      <w:r w:rsidRPr="00CD5754">
        <w:rPr>
          <w:rFonts w:ascii="AR CENA" w:hAnsi="AR CENA"/>
          <w:sz w:val="28"/>
          <w:szCs w:val="28"/>
        </w:rPr>
        <w:t>polybend</w:t>
      </w:r>
      <w:proofErr w:type="spellEnd"/>
      <w:r w:rsidRPr="00CD5754">
        <w:rPr>
          <w:rFonts w:ascii="AR CENA" w:hAnsi="AR CENA"/>
          <w:sz w:val="28"/>
          <w:szCs w:val="28"/>
        </w:rPr>
        <w:t xml:space="preserve"> suture is inserted at the ventral aspect of the right </w:t>
      </w:r>
      <w:proofErr w:type="spellStart"/>
      <w:r w:rsidRPr="00CD5754">
        <w:rPr>
          <w:rFonts w:ascii="AR CENA" w:hAnsi="AR CENA"/>
          <w:sz w:val="28"/>
          <w:szCs w:val="28"/>
        </w:rPr>
        <w:t>sternothyroid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tendon of insertion and exited from the lamina of the thyroid cartilage and through the </w:t>
      </w:r>
      <w:proofErr w:type="spellStart"/>
      <w:r w:rsidRPr="00CD5754">
        <w:rPr>
          <w:rFonts w:ascii="AR CENA" w:hAnsi="AR CENA"/>
          <w:sz w:val="28"/>
          <w:szCs w:val="28"/>
        </w:rPr>
        <w:t>thyrohyoideus</w:t>
      </w:r>
      <w:proofErr w:type="spellEnd"/>
      <w:r w:rsidRPr="00CD5754">
        <w:rPr>
          <w:rFonts w:ascii="AR CENA" w:hAnsi="AR CENA"/>
          <w:sz w:val="28"/>
          <w:szCs w:val="28"/>
        </w:rPr>
        <w:t xml:space="preserve"> muscle 1cm </w:t>
      </w:r>
      <w:proofErr w:type="spellStart"/>
      <w:r w:rsidRPr="00CD5754">
        <w:rPr>
          <w:rFonts w:ascii="AR CENA" w:hAnsi="AR CENA"/>
          <w:sz w:val="28"/>
          <w:szCs w:val="28"/>
        </w:rPr>
        <w:t>rostrally</w:t>
      </w:r>
      <w:proofErr w:type="spellEnd"/>
      <w:r w:rsidRPr="00CD5754">
        <w:rPr>
          <w:rFonts w:ascii="AR CENA" w:hAnsi="AR CENA"/>
          <w:sz w:val="28"/>
          <w:szCs w:val="28"/>
        </w:rPr>
        <w:t xml:space="preserve"> and slightly dorsally from its insertion point 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>- The suture is then placed again through the right lamina of the thyroid cartilage slightly more dorsal (0.5cm) and exits more dorsally than the previous bite forming a loop in the thyroid lamina - The procedure is repeated on the left side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The </w:t>
      </w:r>
      <w:proofErr w:type="spellStart"/>
      <w:r w:rsidRPr="00CD5754">
        <w:rPr>
          <w:rFonts w:ascii="AR CENA" w:hAnsi="AR CENA"/>
          <w:sz w:val="28"/>
          <w:szCs w:val="28"/>
        </w:rPr>
        <w:t>sternothyroid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tendon of insertion is </w:t>
      </w:r>
      <w:proofErr w:type="spellStart"/>
      <w:r w:rsidRPr="00CD5754">
        <w:rPr>
          <w:rFonts w:ascii="AR CENA" w:hAnsi="AR CENA"/>
          <w:sz w:val="28"/>
          <w:szCs w:val="28"/>
        </w:rPr>
        <w:t>transected</w:t>
      </w:r>
      <w:proofErr w:type="spellEnd"/>
      <w:r w:rsidRPr="00CD5754">
        <w:rPr>
          <w:rFonts w:ascii="AR CENA" w:hAnsi="AR CENA"/>
          <w:sz w:val="28"/>
          <w:szCs w:val="28"/>
        </w:rPr>
        <w:t xml:space="preserve"> after the sutures are placed in the thyroid lamina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- A suture or wire passer is used to pass the most dorsal suture on the right side and most ventral suture on the left side dorsal to the </w:t>
      </w:r>
      <w:proofErr w:type="spellStart"/>
      <w:r w:rsidRPr="00CD5754">
        <w:rPr>
          <w:rFonts w:ascii="AR CENA" w:hAnsi="AR CENA"/>
          <w:sz w:val="28"/>
          <w:szCs w:val="28"/>
        </w:rPr>
        <w:t>basihyoid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to exit on the right side of the lingual process where they are tagged with separate </w:t>
      </w:r>
      <w:proofErr w:type="spellStart"/>
      <w:r w:rsidRPr="00CD5754">
        <w:rPr>
          <w:rFonts w:ascii="AR CENA" w:hAnsi="AR CENA"/>
          <w:sz w:val="28"/>
          <w:szCs w:val="28"/>
        </w:rPr>
        <w:t>hemostats</w:t>
      </w:r>
      <w:proofErr w:type="spellEnd"/>
      <w:r w:rsidRPr="00CD5754">
        <w:rPr>
          <w:rFonts w:ascii="AR CENA" w:hAnsi="AR CENA"/>
          <w:sz w:val="28"/>
          <w:szCs w:val="28"/>
        </w:rPr>
        <w:t xml:space="preserve"> </w:t>
      </w:r>
    </w:p>
    <w:p w:rsid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- The most dorsal suture on the left side and most ventral suture on the right side are then similarly passed dorsal to the </w:t>
      </w:r>
      <w:proofErr w:type="spellStart"/>
      <w:r w:rsidRPr="00CD5754">
        <w:rPr>
          <w:rFonts w:ascii="AR CENA" w:hAnsi="AR CENA"/>
          <w:sz w:val="28"/>
          <w:szCs w:val="28"/>
        </w:rPr>
        <w:t>basihyoid</w:t>
      </w:r>
      <w:proofErr w:type="spellEnd"/>
      <w:r w:rsidRPr="00CD5754">
        <w:rPr>
          <w:rFonts w:ascii="AR CENA" w:hAnsi="AR CENA"/>
          <w:sz w:val="28"/>
          <w:szCs w:val="28"/>
        </w:rPr>
        <w:t xml:space="preserve"> to exit on the lingual process where they are tagged with separate </w:t>
      </w:r>
      <w:proofErr w:type="spellStart"/>
      <w:r w:rsidRPr="00CD5754">
        <w:rPr>
          <w:rFonts w:ascii="AR CENA" w:hAnsi="AR CENA"/>
          <w:sz w:val="28"/>
          <w:szCs w:val="28"/>
        </w:rPr>
        <w:t>hemostats</w:t>
      </w:r>
      <w:proofErr w:type="spellEnd"/>
      <w:r w:rsidRPr="00CD5754">
        <w:rPr>
          <w:rFonts w:ascii="AR CENA" w:hAnsi="AR CENA"/>
          <w:sz w:val="28"/>
          <w:szCs w:val="28"/>
        </w:rPr>
        <w:t xml:space="preserve"> </w:t>
      </w:r>
    </w:p>
    <w:p w:rsidR="00CD5754" w:rsidRPr="00CD5754" w:rsidRDefault="00CD5754" w:rsidP="00CD5754">
      <w:pPr>
        <w:jc w:val="center"/>
        <w:rPr>
          <w:rFonts w:ascii="AR CENA" w:hAnsi="AR CENA"/>
          <w:sz w:val="28"/>
          <w:szCs w:val="28"/>
        </w:rPr>
      </w:pPr>
      <w:r>
        <w:rPr>
          <w:rFonts w:ascii="AR CENA" w:hAnsi="AR CENA"/>
          <w:noProof/>
          <w:sz w:val="28"/>
          <w:szCs w:val="28"/>
          <w:lang w:eastAsia="en-JM"/>
        </w:rPr>
        <w:drawing>
          <wp:inline distT="0" distB="0" distL="0" distR="0">
            <wp:extent cx="6105553" cy="3152775"/>
            <wp:effectExtent l="19050" t="0" r="949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780" t="23004" r="22352" b="2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53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754" w:rsidRPr="00CD5754" w:rsidRDefault="00CD5754">
      <w:pPr>
        <w:rPr>
          <w:rFonts w:ascii="AR CENA" w:hAnsi="AR CENA"/>
          <w:color w:val="5F497A" w:themeColor="accent4" w:themeShade="BF"/>
          <w:sz w:val="32"/>
          <w:szCs w:val="32"/>
        </w:rPr>
      </w:pPr>
      <w:r w:rsidRPr="00CD5754">
        <w:rPr>
          <w:rFonts w:ascii="AR CENA" w:hAnsi="AR CENA"/>
          <w:color w:val="5F497A" w:themeColor="accent4" w:themeShade="BF"/>
          <w:sz w:val="28"/>
          <w:szCs w:val="28"/>
        </w:rPr>
        <w:lastRenderedPageBreak/>
        <w:t xml:space="preserve"> </w:t>
      </w:r>
      <w:r w:rsidRPr="00CD5754">
        <w:rPr>
          <w:rFonts w:ascii="AR CENA" w:hAnsi="AR CENA"/>
          <w:color w:val="5F497A" w:themeColor="accent4" w:themeShade="BF"/>
          <w:sz w:val="32"/>
          <w:szCs w:val="32"/>
        </w:rPr>
        <w:t xml:space="preserve">Complications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Low complication rate procedure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- Intra-operative bleeding (4.1%) 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>- Excessive swelling (0.4%)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</w:t>
      </w:r>
      <w:proofErr w:type="spellStart"/>
      <w:r w:rsidRPr="00CD5754">
        <w:rPr>
          <w:rFonts w:ascii="AR CENA" w:hAnsi="AR CENA"/>
          <w:sz w:val="28"/>
          <w:szCs w:val="28"/>
        </w:rPr>
        <w:t>Incisional</w:t>
      </w:r>
      <w:proofErr w:type="spellEnd"/>
      <w:r w:rsidRPr="00CD5754">
        <w:rPr>
          <w:rFonts w:ascii="AR CENA" w:hAnsi="AR CENA"/>
          <w:sz w:val="28"/>
          <w:szCs w:val="28"/>
        </w:rPr>
        <w:t xml:space="preserve"> infection (0.7%) </w:t>
      </w:r>
    </w:p>
    <w:p w:rsidR="00CD5754" w:rsidRPr="00CD5754" w:rsidRDefault="00CD5754">
      <w:pPr>
        <w:rPr>
          <w:rFonts w:ascii="AR CENA" w:hAnsi="AR CENA"/>
          <w:color w:val="5F497A" w:themeColor="accent4" w:themeShade="BF"/>
          <w:sz w:val="32"/>
          <w:szCs w:val="32"/>
        </w:rPr>
      </w:pPr>
      <w:r w:rsidRPr="00CD5754">
        <w:rPr>
          <w:rFonts w:ascii="AR CENA" w:hAnsi="AR CENA"/>
          <w:color w:val="5F497A" w:themeColor="accent4" w:themeShade="BF"/>
          <w:sz w:val="32"/>
          <w:szCs w:val="32"/>
        </w:rPr>
        <w:t>Aftercare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 - Maintenance on antibiotics and anti-</w:t>
      </w:r>
      <w:proofErr w:type="spellStart"/>
      <w:r w:rsidRPr="00CD5754">
        <w:rPr>
          <w:rFonts w:ascii="AR CENA" w:hAnsi="AR CENA"/>
          <w:sz w:val="28"/>
          <w:szCs w:val="28"/>
        </w:rPr>
        <w:t>inflammatories</w:t>
      </w:r>
      <w:proofErr w:type="spellEnd"/>
      <w:r w:rsidRPr="00CD5754">
        <w:rPr>
          <w:rFonts w:ascii="AR CENA" w:hAnsi="AR CENA"/>
          <w:sz w:val="28"/>
          <w:szCs w:val="28"/>
        </w:rPr>
        <w:t xml:space="preserve"> for short period of time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Return to training at 2 weeks</w:t>
      </w:r>
    </w:p>
    <w:p w:rsidR="00CD5754" w:rsidRPr="00CD5754" w:rsidRDefault="00CD5754">
      <w:pPr>
        <w:rPr>
          <w:rFonts w:ascii="AR CENA" w:hAnsi="AR CENA"/>
          <w:sz w:val="28"/>
          <w:szCs w:val="28"/>
        </w:rPr>
      </w:pPr>
      <w:r w:rsidRPr="00CD5754">
        <w:rPr>
          <w:rFonts w:ascii="AR CENA" w:hAnsi="AR CENA"/>
          <w:sz w:val="28"/>
          <w:szCs w:val="28"/>
        </w:rPr>
        <w:t xml:space="preserve"> - In first 2 weeks feed and water should be given at shoulder height</w:t>
      </w:r>
    </w:p>
    <w:sectPr w:rsidR="00CD5754" w:rsidRPr="00CD5754" w:rsidSect="00BA6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754"/>
    <w:rsid w:val="00BA63D8"/>
    <w:rsid w:val="00CD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295</Words>
  <Characters>1683</Characters>
  <Application>Microsoft Office Word</Application>
  <DocSecurity>0</DocSecurity>
  <Lines>14</Lines>
  <Paragraphs>3</Paragraphs>
  <ScaleCrop>false</ScaleCrop>
  <Company>HP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2017-10-27T01:19:00Z</dcterms:created>
  <dcterms:modified xsi:type="dcterms:W3CDTF">2017-10-27T01:29:00Z</dcterms:modified>
</cp:coreProperties>
</file>