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F6C" w:rsidRPr="007B6808" w:rsidRDefault="00F80CFD" w:rsidP="00F80CFD">
      <w:pPr>
        <w:rPr>
          <w:rFonts w:ascii="AR CHRISTY" w:hAnsi="AR CHRISTY"/>
          <w:noProof/>
          <w:sz w:val="72"/>
          <w:szCs w:val="72"/>
          <w:lang w:eastAsia="en-JM"/>
        </w:rPr>
      </w:pPr>
      <w:r w:rsidRPr="007B6808">
        <w:rPr>
          <w:rFonts w:ascii="AR CHRISTY" w:hAnsi="AR CHRISTY"/>
          <w:noProof/>
          <w:sz w:val="72"/>
          <w:szCs w:val="72"/>
          <w:lang w:eastAsia="en-JM"/>
        </w:rPr>
        <w:t>Constant inFusion Rate</w:t>
      </w:r>
      <w:r w:rsidR="007B6808">
        <w:rPr>
          <w:rFonts w:ascii="AR CHRISTY" w:hAnsi="AR CHRISTY"/>
          <w:noProof/>
          <w:sz w:val="72"/>
          <w:szCs w:val="72"/>
          <w:lang w:eastAsia="en-JM"/>
        </w:rPr>
        <w:t>s</w:t>
      </w:r>
      <w:r w:rsidRPr="007B6808">
        <w:rPr>
          <w:rFonts w:ascii="AR CHRISTY" w:hAnsi="AR CHRISTY"/>
          <w:noProof/>
          <w:sz w:val="72"/>
          <w:szCs w:val="72"/>
          <w:lang w:eastAsia="en-JM"/>
        </w:rPr>
        <w:t xml:space="preserve"> </w:t>
      </w:r>
    </w:p>
    <w:p w:rsidR="00F80CFD" w:rsidRDefault="00F80CFD" w:rsidP="00F80CFD">
      <w:pPr>
        <w:rPr>
          <w:noProof/>
          <w:lang w:eastAsia="en-JM"/>
        </w:rPr>
      </w:pPr>
    </w:p>
    <w:p w:rsidR="00F80CFD" w:rsidRPr="007B6808" w:rsidRDefault="007B6808" w:rsidP="00F80CFD">
      <w:pPr>
        <w:rPr>
          <w:rFonts w:ascii="Comic Sans MS" w:hAnsi="Comic Sans MS"/>
          <w:noProof/>
          <w:lang w:eastAsia="en-JM"/>
        </w:rPr>
      </w:pPr>
      <w:r>
        <w:rPr>
          <w:rFonts w:ascii="Comic Sans MS" w:hAnsi="Comic Sans MS"/>
          <w:noProof/>
          <w:lang w:eastAsia="en-JM"/>
        </w:rPr>
        <w:t>Picture below showing  fluids (CRI) c</w:t>
      </w:r>
      <w:r w:rsidR="00F80CFD" w:rsidRPr="007B6808">
        <w:rPr>
          <w:rFonts w:ascii="Comic Sans MS" w:hAnsi="Comic Sans MS"/>
          <w:noProof/>
          <w:lang w:eastAsia="en-JM"/>
        </w:rPr>
        <w:t xml:space="preserve">alculation for Calf </w:t>
      </w:r>
    </w:p>
    <w:p w:rsidR="00F80CFD" w:rsidRDefault="00F80CFD" w:rsidP="00F80CFD">
      <w:r w:rsidRPr="00F80CFD">
        <w:drawing>
          <wp:inline distT="0" distB="0" distL="0" distR="0">
            <wp:extent cx="4772025" cy="6424559"/>
            <wp:effectExtent l="19050" t="0" r="9525" b="0"/>
            <wp:docPr id="5" name="Picture 13" descr="https://scontent.fpos1-1.fna.fbcdn.net/v/t34.0-12/22782164_843371092489322_743705959_n.jpg?oh=88b492633758c10a684031ec8e30431b&amp;oe=59EE9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pos1-1.fna.fbcdn.net/v/t34.0-12/22782164_843371092489322_743705959_n.jpg?oh=88b492633758c10a684031ec8e30431b&amp;oe=59EE97F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958" b="1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42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FD" w:rsidRDefault="00F80CFD" w:rsidP="00F80CFD"/>
    <w:p w:rsidR="007B6808" w:rsidRDefault="007B6808" w:rsidP="00F80CFD"/>
    <w:p w:rsidR="00F80CFD" w:rsidRPr="007B6808" w:rsidRDefault="00F80CFD" w:rsidP="007B6808">
      <w:pPr>
        <w:jc w:val="center"/>
        <w:rPr>
          <w:rFonts w:ascii="AR BERKLEY" w:hAnsi="AR BERKLEY"/>
          <w:sz w:val="32"/>
          <w:szCs w:val="32"/>
        </w:rPr>
      </w:pPr>
      <w:r w:rsidRPr="007B6808">
        <w:rPr>
          <w:rFonts w:ascii="AR BERKLEY" w:hAnsi="AR BERKLEY"/>
          <w:sz w:val="32"/>
          <w:szCs w:val="32"/>
        </w:rPr>
        <w:lastRenderedPageBreak/>
        <w:t xml:space="preserve">Table showing Comparative Doses Given Intra Op for Fluids/ Constant </w:t>
      </w:r>
      <w:r w:rsidR="007B6808" w:rsidRPr="007B6808">
        <w:rPr>
          <w:rFonts w:ascii="AR BERKLEY" w:hAnsi="AR BERKLEY"/>
          <w:sz w:val="32"/>
          <w:szCs w:val="32"/>
        </w:rPr>
        <w:t>Infusion</w:t>
      </w:r>
      <w:r w:rsidRPr="007B6808">
        <w:rPr>
          <w:rFonts w:ascii="AR BERKLEY" w:hAnsi="AR BERKLEY"/>
          <w:sz w:val="32"/>
          <w:szCs w:val="32"/>
        </w:rPr>
        <w:t xml:space="preserve"> Rate</w:t>
      </w:r>
      <w:r w:rsidR="007B6808">
        <w:rPr>
          <w:rFonts w:ascii="AR BERKLEY" w:hAnsi="AR BERKLEY"/>
          <w:sz w:val="32"/>
          <w:szCs w:val="32"/>
        </w:rPr>
        <w:t xml:space="preserve"> (CRI)</w:t>
      </w:r>
    </w:p>
    <w:tbl>
      <w:tblPr>
        <w:tblW w:w="8305" w:type="dxa"/>
        <w:tblInd w:w="93" w:type="dxa"/>
        <w:tblLook w:val="04A0"/>
      </w:tblPr>
      <w:tblGrid>
        <w:gridCol w:w="1845"/>
        <w:gridCol w:w="1734"/>
        <w:gridCol w:w="2525"/>
        <w:gridCol w:w="2201"/>
      </w:tblGrid>
      <w:tr w:rsidR="00EC16AE" w:rsidRPr="00EC16AE" w:rsidTr="00EC16AE">
        <w:trPr>
          <w:trHeight w:val="667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Patient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Drug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Volume given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Drip Rate</w:t>
            </w: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Calf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Xylazine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0.5ml</w:t>
            </w:r>
          </w:p>
        </w:tc>
        <w:tc>
          <w:tcPr>
            <w:tcW w:w="2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3 drops/min</w:t>
            </w: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Ketamine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Lidocaine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Female Pig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Xylazine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2.5 drops/min</w:t>
            </w: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Ketamine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Lidocaine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Male Pig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Xylazine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2.5 drops/min</w:t>
            </w: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Ketamine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</w:tr>
      <w:tr w:rsidR="00EC16AE" w:rsidRPr="00EC16AE" w:rsidTr="00EC16AE">
        <w:trPr>
          <w:trHeight w:val="667"/>
        </w:trPr>
        <w:tc>
          <w:tcPr>
            <w:tcW w:w="1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Lidocaine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JM"/>
              </w:rPr>
            </w:pPr>
            <w:r w:rsidRPr="00EC16AE">
              <w:rPr>
                <w:rFonts w:ascii="Calibri" w:eastAsia="Times New Roman" w:hAnsi="Calibri" w:cs="Calibri"/>
                <w:color w:val="000000"/>
                <w:lang w:eastAsia="en-JM"/>
              </w:rPr>
              <w:t>10ml</w:t>
            </w:r>
          </w:p>
        </w:tc>
        <w:tc>
          <w:tcPr>
            <w:tcW w:w="2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6AE" w:rsidRPr="00EC16AE" w:rsidRDefault="00EC16AE" w:rsidP="00EC16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JM"/>
              </w:rPr>
            </w:pPr>
          </w:p>
        </w:tc>
      </w:tr>
    </w:tbl>
    <w:p w:rsidR="00F80CFD" w:rsidRDefault="00F80CFD" w:rsidP="00EF1F6C">
      <w:pPr>
        <w:jc w:val="center"/>
      </w:pPr>
    </w:p>
    <w:p w:rsidR="00F80CFD" w:rsidRDefault="00F80CFD" w:rsidP="00EF1F6C">
      <w:pPr>
        <w:jc w:val="center"/>
      </w:pPr>
    </w:p>
    <w:p w:rsidR="00F80CFD" w:rsidRDefault="007B6808" w:rsidP="00EF1F6C">
      <w:pPr>
        <w:jc w:val="center"/>
      </w:pPr>
      <w:r w:rsidRPr="007B6808">
        <w:drawing>
          <wp:inline distT="0" distB="0" distL="0" distR="0">
            <wp:extent cx="4933950" cy="316859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82" t="18047" r="30885" b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19" cy="31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FD" w:rsidRDefault="007B6808" w:rsidP="00EF1F6C">
      <w:pPr>
        <w:jc w:val="center"/>
      </w:pPr>
      <w:r w:rsidRPr="007B6808">
        <w:lastRenderedPageBreak/>
        <w:drawing>
          <wp:inline distT="0" distB="0" distL="0" distR="0">
            <wp:extent cx="4669935" cy="276782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44" t="18935" r="30775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15" cy="277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08" w:rsidRDefault="007B6808" w:rsidP="00EF1F6C">
      <w:pPr>
        <w:jc w:val="center"/>
      </w:pPr>
    </w:p>
    <w:p w:rsidR="00F80CFD" w:rsidRDefault="007B6808" w:rsidP="00EF1F6C">
      <w:pPr>
        <w:jc w:val="center"/>
      </w:pPr>
      <w:r w:rsidRPr="007B6808">
        <w:drawing>
          <wp:inline distT="0" distB="0" distL="0" distR="0">
            <wp:extent cx="5731510" cy="3382189"/>
            <wp:effectExtent l="19050" t="0" r="254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1" t="15976" r="25955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FD" w:rsidRDefault="007B6808" w:rsidP="00EF1F6C">
      <w:pPr>
        <w:jc w:val="center"/>
      </w:pPr>
      <w:r w:rsidRPr="007B6808">
        <w:lastRenderedPageBreak/>
        <w:drawing>
          <wp:inline distT="0" distB="0" distL="0" distR="0">
            <wp:extent cx="5312410" cy="3069525"/>
            <wp:effectExtent l="19050" t="0" r="254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976" r="25295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0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FD" w:rsidRDefault="00F80CFD" w:rsidP="00EF1F6C">
      <w:pPr>
        <w:jc w:val="center"/>
      </w:pPr>
    </w:p>
    <w:p w:rsidR="00EF1F6C" w:rsidRPr="007B6808" w:rsidRDefault="007B6808" w:rsidP="007B6808">
      <w:pPr>
        <w:tabs>
          <w:tab w:val="left" w:pos="2160"/>
        </w:tabs>
      </w:pPr>
      <w:r w:rsidRPr="007B6808">
        <w:drawing>
          <wp:inline distT="0" distB="0" distL="0" distR="0">
            <wp:extent cx="5731510" cy="3605078"/>
            <wp:effectExtent l="19050" t="0" r="254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80" t="15680" r="27451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F6C" w:rsidRPr="007B6808" w:rsidSect="00E647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642" w:rsidRDefault="00207642" w:rsidP="00EF1F6C">
      <w:pPr>
        <w:spacing w:after="0" w:line="240" w:lineRule="auto"/>
      </w:pPr>
      <w:r>
        <w:separator/>
      </w:r>
    </w:p>
  </w:endnote>
  <w:endnote w:type="continuationSeparator" w:id="1">
    <w:p w:rsidR="00207642" w:rsidRDefault="00207642" w:rsidP="00EF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642" w:rsidRDefault="00207642" w:rsidP="00EF1F6C">
      <w:pPr>
        <w:spacing w:after="0" w:line="240" w:lineRule="auto"/>
      </w:pPr>
      <w:r>
        <w:separator/>
      </w:r>
    </w:p>
  </w:footnote>
  <w:footnote w:type="continuationSeparator" w:id="1">
    <w:p w:rsidR="00207642" w:rsidRDefault="00207642" w:rsidP="00EF1F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1F6C"/>
    <w:rsid w:val="00003A0A"/>
    <w:rsid w:val="00207642"/>
    <w:rsid w:val="007B6808"/>
    <w:rsid w:val="00E64731"/>
    <w:rsid w:val="00EC16AE"/>
    <w:rsid w:val="00EF1F6C"/>
    <w:rsid w:val="00F80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F1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1F6C"/>
  </w:style>
  <w:style w:type="paragraph" w:styleId="Footer">
    <w:name w:val="footer"/>
    <w:basedOn w:val="Normal"/>
    <w:link w:val="FooterChar"/>
    <w:uiPriority w:val="99"/>
    <w:semiHidden/>
    <w:unhideWhenUsed/>
    <w:rsid w:val="00EF1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1F6C"/>
  </w:style>
  <w:style w:type="table" w:styleId="TableGrid">
    <w:name w:val="Table Grid"/>
    <w:basedOn w:val="TableNormal"/>
    <w:uiPriority w:val="59"/>
    <w:rsid w:val="00EC1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EC16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1</cp:revision>
  <dcterms:created xsi:type="dcterms:W3CDTF">2017-10-22T15:19:00Z</dcterms:created>
  <dcterms:modified xsi:type="dcterms:W3CDTF">2017-10-22T18:41:00Z</dcterms:modified>
</cp:coreProperties>
</file>